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BAEBFA" w14:textId="090CE7C8" w:rsidR="00864C08" w:rsidRPr="001454DF" w:rsidRDefault="00864C08" w:rsidP="00864C08">
      <w:pPr>
        <w:spacing w:after="0" w:line="240" w:lineRule="auto"/>
        <w:rPr>
          <w:rFonts w:ascii="Times New Roman" w:eastAsia="Times New Roman" w:hAnsi="Times New Roman" w:cs="Times New Roman"/>
          <w:b/>
          <w:sz w:val="20"/>
          <w:szCs w:val="20"/>
          <w:lang w:val="en-GB" w:eastAsia="es-ES"/>
        </w:rPr>
      </w:pPr>
      <w:bookmarkStart w:id="0" w:name="_GoBack"/>
      <w:bookmarkEnd w:id="0"/>
      <w:r w:rsidRPr="001454DF">
        <w:rPr>
          <w:rFonts w:ascii="Times New Roman" w:eastAsia="Times New Roman" w:hAnsi="Times New Roman" w:cs="Times New Roman"/>
          <w:b/>
          <w:sz w:val="20"/>
          <w:szCs w:val="20"/>
          <w:lang w:val="en-GB" w:eastAsia="es-ES"/>
        </w:rPr>
        <w:t>S.26.04. - Solvency Capital Requirement – Health underwriting risk</w:t>
      </w:r>
    </w:p>
    <w:p w14:paraId="5AFBB368" w14:textId="77777777" w:rsidR="00864C08" w:rsidRPr="001454DF" w:rsidRDefault="00864C08" w:rsidP="00864C08">
      <w:pPr>
        <w:spacing w:after="0" w:line="240" w:lineRule="auto"/>
        <w:rPr>
          <w:rFonts w:ascii="Times New Roman" w:eastAsia="Times New Roman" w:hAnsi="Times New Roman" w:cs="Times New Roman"/>
          <w:b/>
          <w:sz w:val="20"/>
          <w:szCs w:val="20"/>
          <w:lang w:val="en-GB" w:eastAsia="es-ES"/>
        </w:rPr>
      </w:pPr>
    </w:p>
    <w:p w14:paraId="051E719B" w14:textId="10F323D5" w:rsidR="00864C08" w:rsidRPr="001454DF" w:rsidRDefault="00864C08" w:rsidP="00864C08">
      <w:pPr>
        <w:spacing w:after="0" w:line="240" w:lineRule="auto"/>
        <w:rPr>
          <w:rFonts w:ascii="Times New Roman" w:eastAsia="Times New Roman" w:hAnsi="Times New Roman" w:cs="Times New Roman"/>
          <w:b/>
          <w:sz w:val="20"/>
          <w:szCs w:val="20"/>
          <w:lang w:val="en-GB" w:eastAsia="es-ES"/>
        </w:rPr>
      </w:pPr>
      <w:r w:rsidRPr="001454DF">
        <w:rPr>
          <w:rFonts w:ascii="Times New Roman" w:eastAsia="Times New Roman" w:hAnsi="Times New Roman" w:cs="Times New Roman"/>
          <w:b/>
          <w:sz w:val="20"/>
          <w:szCs w:val="20"/>
          <w:lang w:val="en-GB" w:eastAsia="es-ES"/>
        </w:rPr>
        <w:t>General Comments:</w:t>
      </w:r>
    </w:p>
    <w:p w14:paraId="1885C746" w14:textId="77777777" w:rsidR="00864C08" w:rsidRPr="001454DF" w:rsidRDefault="00864C08" w:rsidP="00864C08">
      <w:pPr>
        <w:spacing w:after="0" w:line="240" w:lineRule="auto"/>
        <w:rPr>
          <w:rFonts w:ascii="Times New Roman" w:eastAsia="Times New Roman" w:hAnsi="Times New Roman" w:cs="Times New Roman"/>
          <w:sz w:val="20"/>
          <w:szCs w:val="20"/>
          <w:lang w:val="en-GB" w:eastAsia="es-ES"/>
        </w:rPr>
      </w:pPr>
    </w:p>
    <w:p w14:paraId="424B6E63" w14:textId="77777777" w:rsidR="00864C08" w:rsidRPr="001454DF" w:rsidRDefault="00864C08" w:rsidP="00864C08">
      <w:pPr>
        <w:spacing w:after="0" w:line="240" w:lineRule="auto"/>
        <w:jc w:val="both"/>
        <w:rPr>
          <w:rFonts w:ascii="Times New Roman" w:eastAsia="Times New Roman" w:hAnsi="Times New Roman" w:cs="Times New Roman"/>
          <w:sz w:val="20"/>
          <w:szCs w:val="20"/>
          <w:lang w:val="en-GB" w:eastAsia="es-ES"/>
        </w:rPr>
      </w:pPr>
      <w:r w:rsidRPr="001454DF">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62D6AF8B" w14:textId="77777777" w:rsidR="00864C08" w:rsidRPr="001454DF" w:rsidRDefault="00864C08" w:rsidP="00864C08">
      <w:pPr>
        <w:spacing w:after="0" w:line="240" w:lineRule="auto"/>
        <w:jc w:val="both"/>
        <w:rPr>
          <w:rFonts w:ascii="Times New Roman" w:eastAsia="Times New Roman" w:hAnsi="Times New Roman" w:cs="Times New Roman"/>
          <w:sz w:val="20"/>
          <w:szCs w:val="20"/>
          <w:lang w:val="en-GB" w:eastAsia="es-ES"/>
        </w:rPr>
      </w:pPr>
    </w:p>
    <w:p w14:paraId="611950B2" w14:textId="1C127469" w:rsidR="00864C08" w:rsidRPr="001454DF" w:rsidRDefault="00864C08" w:rsidP="00864C08">
      <w:pPr>
        <w:jc w:val="both"/>
        <w:rPr>
          <w:rFonts w:ascii="Times New Roman" w:hAnsi="Times New Roman" w:cs="Times New Roman"/>
          <w:sz w:val="20"/>
          <w:szCs w:val="20"/>
          <w:lang w:val="en-GB"/>
        </w:rPr>
      </w:pPr>
      <w:r w:rsidRPr="001454DF">
        <w:rPr>
          <w:rFonts w:ascii="Times New Roman" w:hAnsi="Times New Roman" w:cs="Times New Roman"/>
          <w:sz w:val="20"/>
          <w:szCs w:val="20"/>
          <w:lang w:val="en-GB"/>
        </w:rPr>
        <w:t xml:space="preserve">This annex relates to annual submission of information for </w:t>
      </w:r>
      <w:r w:rsidR="00AE403B" w:rsidRPr="001454DF">
        <w:rPr>
          <w:rFonts w:ascii="Times New Roman" w:hAnsi="Times New Roman" w:cs="Times New Roman"/>
          <w:sz w:val="20"/>
          <w:szCs w:val="20"/>
          <w:lang w:val="en-GB"/>
        </w:rPr>
        <w:t>groups</w:t>
      </w:r>
      <w:r w:rsidRPr="001454DF">
        <w:rPr>
          <w:rFonts w:ascii="Times New Roman" w:hAnsi="Times New Roman" w:cs="Times New Roman"/>
          <w:sz w:val="20"/>
          <w:szCs w:val="20"/>
          <w:lang w:val="en-GB"/>
        </w:rPr>
        <w:t xml:space="preserve">, ring fenced-funds, matching </w:t>
      </w:r>
      <w:r w:rsidR="00F272D7" w:rsidRPr="001454DF">
        <w:rPr>
          <w:rFonts w:ascii="Times New Roman" w:hAnsi="Times New Roman" w:cs="Times New Roman"/>
          <w:sz w:val="20"/>
          <w:szCs w:val="20"/>
          <w:lang w:val="en-GB"/>
        </w:rPr>
        <w:t xml:space="preserve">adjustment </w:t>
      </w:r>
      <w:r w:rsidRPr="001454DF">
        <w:rPr>
          <w:rFonts w:ascii="Times New Roman" w:hAnsi="Times New Roman" w:cs="Times New Roman"/>
          <w:sz w:val="20"/>
          <w:szCs w:val="20"/>
          <w:lang w:val="en-GB"/>
        </w:rPr>
        <w:t>portfolios and remaining part.</w:t>
      </w:r>
    </w:p>
    <w:p w14:paraId="23399768" w14:textId="52920559" w:rsidR="00864C08" w:rsidRPr="001454DF" w:rsidRDefault="00864C08" w:rsidP="00864C08">
      <w:pPr>
        <w:jc w:val="both"/>
        <w:rPr>
          <w:rFonts w:ascii="Times New Roman" w:hAnsi="Times New Roman" w:cs="Times New Roman"/>
          <w:sz w:val="20"/>
          <w:szCs w:val="20"/>
          <w:lang w:val="en-GB"/>
        </w:rPr>
      </w:pPr>
      <w:r w:rsidRPr="001454DF">
        <w:rPr>
          <w:rFonts w:ascii="Times New Roman" w:hAnsi="Times New Roman" w:cs="Times New Roman"/>
          <w:sz w:val="20"/>
          <w:szCs w:val="20"/>
          <w:lang w:val="en-GB"/>
        </w:rPr>
        <w:t>The variant S.26.04.l has to be filled in for each ring-fenced fund (RFF), each matching adjustment portfolio (MAP) and for the remaining part. However, where a RFF/MAP includes a MAP/RRF embedded, the fund should be treated as different funds. This template should be reported for all sub-funds of a material RFF/MAP as identified in the second table of S.01.03.</w:t>
      </w:r>
    </w:p>
    <w:p w14:paraId="61FA7727" w14:textId="71E09BB7" w:rsidR="00943246" w:rsidRPr="001454DF" w:rsidRDefault="00943246" w:rsidP="00864C08">
      <w:pPr>
        <w:jc w:val="both"/>
        <w:rPr>
          <w:rFonts w:ascii="Times New Roman" w:hAnsi="Times New Roman" w:cs="Times New Roman"/>
          <w:sz w:val="20"/>
          <w:szCs w:val="20"/>
          <w:lang w:val="en-GB"/>
        </w:rPr>
      </w:pPr>
      <w:r w:rsidRPr="001454DF">
        <w:rPr>
          <w:rFonts w:ascii="Times New Roman" w:hAnsi="Times New Roman" w:cs="Times New Roman"/>
          <w:sz w:val="20"/>
          <w:szCs w:val="20"/>
          <w:lang w:val="en-GB"/>
        </w:rPr>
        <w:t xml:space="preserve">All values shall be reported net of reinsurance and other risk mitigating techniques. </w:t>
      </w:r>
    </w:p>
    <w:p w14:paraId="65484678" w14:textId="77777777" w:rsidR="00AE403B" w:rsidRPr="001454DF" w:rsidRDefault="00AE403B" w:rsidP="001454DF">
      <w:pPr>
        <w:jc w:val="both"/>
        <w:rPr>
          <w:rFonts w:ascii="Times New Roman" w:hAnsi="Times New Roman" w:cs="Times New Roman"/>
          <w:sz w:val="20"/>
          <w:szCs w:val="20"/>
          <w:lang w:val="en-GB"/>
        </w:rPr>
      </w:pPr>
      <w:r w:rsidRPr="001454DF">
        <w:rPr>
          <w:rFonts w:ascii="Times New Roman" w:hAnsi="Times New Roman" w:cs="Times New Roman"/>
          <w:sz w:val="20"/>
          <w:szCs w:val="20"/>
          <w:lang w:val="en-GB"/>
        </w:rPr>
        <w:t xml:space="preserve">For group reporting the following specific requirements shall be met: </w:t>
      </w:r>
    </w:p>
    <w:p w14:paraId="20C44456" w14:textId="03990990" w:rsidR="00AE403B" w:rsidRPr="001454DF" w:rsidRDefault="00AE403B" w:rsidP="001454DF">
      <w:pPr>
        <w:pStyle w:val="ListParagraph"/>
        <w:numPr>
          <w:ilvl w:val="0"/>
          <w:numId w:val="3"/>
        </w:numPr>
        <w:jc w:val="both"/>
        <w:rPr>
          <w:rFonts w:ascii="Times New Roman" w:hAnsi="Times New Roman" w:cs="Times New Roman"/>
          <w:sz w:val="20"/>
          <w:szCs w:val="20"/>
          <w:lang w:val="en-GB"/>
        </w:rPr>
      </w:pPr>
      <w:r w:rsidRPr="001454DF">
        <w:rPr>
          <w:rFonts w:ascii="Times New Roman" w:hAnsi="Times New Roman" w:cs="Times New Roman"/>
          <w:sz w:val="20"/>
          <w:szCs w:val="20"/>
          <w:lang w:val="en-GB"/>
        </w:rPr>
        <w:t xml:space="preserve">This information is applicable when method 1 as defined in Article 230 of  Solvency  II Directive  is  used,  either  exclusively  or  in  combination with method 2 as defined in Article 233 of </w:t>
      </w:r>
      <w:r w:rsidR="000F69DE">
        <w:rPr>
          <w:rFonts w:ascii="Times New Roman" w:eastAsia="Times New Roman" w:hAnsi="Times New Roman" w:cs="Times New Roman"/>
          <w:sz w:val="20"/>
          <w:szCs w:val="20"/>
          <w:lang w:val="en-GB" w:eastAsia="es-ES"/>
        </w:rPr>
        <w:t>Directive 2009/138/EC</w:t>
      </w:r>
      <w:r w:rsidRPr="001454DF">
        <w:rPr>
          <w:rFonts w:ascii="Times New Roman" w:hAnsi="Times New Roman" w:cs="Times New Roman"/>
          <w:sz w:val="20"/>
          <w:szCs w:val="20"/>
          <w:lang w:val="en-GB"/>
        </w:rPr>
        <w:t xml:space="preserve">; </w:t>
      </w:r>
    </w:p>
    <w:p w14:paraId="247E4972" w14:textId="7EBBA618" w:rsidR="00AE403B" w:rsidRPr="001454DF" w:rsidRDefault="00AE403B" w:rsidP="001454DF">
      <w:pPr>
        <w:pStyle w:val="ListParagraph"/>
        <w:numPr>
          <w:ilvl w:val="0"/>
          <w:numId w:val="3"/>
        </w:numPr>
        <w:jc w:val="both"/>
        <w:rPr>
          <w:rFonts w:ascii="Times New Roman" w:hAnsi="Times New Roman" w:cs="Times New Roman"/>
          <w:sz w:val="20"/>
          <w:szCs w:val="20"/>
          <w:lang w:val="en-GB"/>
        </w:rPr>
      </w:pPr>
      <w:r w:rsidRPr="001454DF">
        <w:rPr>
          <w:rFonts w:ascii="Times New Roman" w:hAnsi="Times New Roman" w:cs="Times New Roman"/>
          <w:sz w:val="20"/>
          <w:szCs w:val="20"/>
          <w:lang w:val="en-GB"/>
        </w:rPr>
        <w:t xml:space="preserve">When  combination  method  is  being  used,  this  information  is  to  be submitted  only  for  the  part  of  the  group  calculated  with  method  1  as defined in Article 230 of </w:t>
      </w:r>
      <w:r w:rsidR="000F69DE">
        <w:rPr>
          <w:rFonts w:ascii="Times New Roman" w:eastAsia="Times New Roman" w:hAnsi="Times New Roman" w:cs="Times New Roman"/>
          <w:sz w:val="20"/>
          <w:szCs w:val="20"/>
          <w:lang w:val="en-GB" w:eastAsia="es-ES"/>
        </w:rPr>
        <w:t>Directive 2009/138/EC</w:t>
      </w:r>
      <w:r w:rsidRPr="001454DF">
        <w:rPr>
          <w:rFonts w:ascii="Times New Roman" w:hAnsi="Times New Roman" w:cs="Times New Roman"/>
          <w:sz w:val="20"/>
          <w:szCs w:val="20"/>
          <w:lang w:val="en-GB"/>
        </w:rPr>
        <w:t xml:space="preserve">, and; </w:t>
      </w:r>
    </w:p>
    <w:p w14:paraId="1BD468B7" w14:textId="3D074786" w:rsidR="00AE403B" w:rsidRPr="001454DF" w:rsidRDefault="00AE403B" w:rsidP="001454DF">
      <w:pPr>
        <w:pStyle w:val="ListParagraph"/>
        <w:numPr>
          <w:ilvl w:val="0"/>
          <w:numId w:val="3"/>
        </w:numPr>
        <w:jc w:val="both"/>
        <w:rPr>
          <w:rFonts w:ascii="Times New Roman" w:hAnsi="Times New Roman" w:cs="Times New Roman"/>
          <w:sz w:val="20"/>
          <w:szCs w:val="20"/>
          <w:lang w:val="en-GB"/>
        </w:rPr>
      </w:pPr>
      <w:r w:rsidRPr="001454DF">
        <w:rPr>
          <w:rFonts w:ascii="Times New Roman" w:hAnsi="Times New Roman" w:cs="Times New Roman"/>
          <w:sz w:val="20"/>
          <w:szCs w:val="20"/>
          <w:lang w:val="en-GB"/>
        </w:rPr>
        <w:t xml:space="preserve">This information does not apply to groups when method 2 as defined in Article 233 of </w:t>
      </w:r>
      <w:r w:rsidR="000F69DE">
        <w:rPr>
          <w:rFonts w:ascii="Times New Roman" w:eastAsia="Times New Roman" w:hAnsi="Times New Roman" w:cs="Times New Roman"/>
          <w:sz w:val="20"/>
          <w:szCs w:val="20"/>
          <w:lang w:val="en-GB" w:eastAsia="es-ES"/>
        </w:rPr>
        <w:t>Directive 2009/138/EC</w:t>
      </w:r>
      <w:r w:rsidRPr="001454DF">
        <w:rPr>
          <w:rFonts w:ascii="Times New Roman" w:hAnsi="Times New Roman" w:cs="Times New Roman"/>
          <w:sz w:val="20"/>
          <w:szCs w:val="20"/>
          <w:lang w:val="en-GB"/>
        </w:rPr>
        <w:t xml:space="preserve"> is being used exclusively.</w:t>
      </w:r>
    </w:p>
    <w:tbl>
      <w:tblPr>
        <w:tblW w:w="9458" w:type="dxa"/>
        <w:tblInd w:w="70" w:type="dxa"/>
        <w:tblCellMar>
          <w:left w:w="70" w:type="dxa"/>
          <w:right w:w="70" w:type="dxa"/>
        </w:tblCellMar>
        <w:tblLook w:val="04A0" w:firstRow="1" w:lastRow="0" w:firstColumn="1" w:lastColumn="0" w:noHBand="0" w:noVBand="1"/>
      </w:tblPr>
      <w:tblGrid>
        <w:gridCol w:w="1630"/>
        <w:gridCol w:w="2531"/>
        <w:gridCol w:w="5297"/>
      </w:tblGrid>
      <w:tr w:rsidR="00D27ADE" w:rsidRPr="001454DF" w14:paraId="652C6DB5" w14:textId="77777777" w:rsidTr="001454DF">
        <w:trPr>
          <w:trHeight w:val="468"/>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F5B086F"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tc>
        <w:tc>
          <w:tcPr>
            <w:tcW w:w="2531" w:type="dxa"/>
            <w:tcBorders>
              <w:top w:val="single" w:sz="4" w:space="0" w:color="auto"/>
              <w:left w:val="nil"/>
              <w:bottom w:val="single" w:sz="4" w:space="0" w:color="auto"/>
              <w:right w:val="single" w:sz="4" w:space="0" w:color="auto"/>
            </w:tcBorders>
            <w:shd w:val="clear" w:color="000000" w:fill="FFFFFF"/>
            <w:vAlign w:val="center"/>
          </w:tcPr>
          <w:p w14:paraId="625F7745" w14:textId="5F25139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b/>
                <w:bCs/>
                <w:sz w:val="20"/>
                <w:szCs w:val="20"/>
                <w:lang w:val="en-GB" w:eastAsia="es-ES"/>
              </w:rPr>
              <w:t>ITEM</w:t>
            </w:r>
          </w:p>
        </w:tc>
        <w:tc>
          <w:tcPr>
            <w:tcW w:w="5297" w:type="dxa"/>
            <w:tcBorders>
              <w:top w:val="single" w:sz="4" w:space="0" w:color="auto"/>
              <w:left w:val="nil"/>
              <w:bottom w:val="single" w:sz="4" w:space="0" w:color="auto"/>
              <w:right w:val="single" w:sz="4" w:space="0" w:color="auto"/>
            </w:tcBorders>
            <w:shd w:val="clear" w:color="000000" w:fill="FFFFFF"/>
            <w:vAlign w:val="center"/>
          </w:tcPr>
          <w:p w14:paraId="036F701B" w14:textId="2C6D6525"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b/>
                <w:bCs/>
                <w:sz w:val="20"/>
                <w:szCs w:val="20"/>
                <w:lang w:val="en-GB" w:eastAsia="es-ES"/>
              </w:rPr>
              <w:t>INSTRUCTIONS</w:t>
            </w:r>
          </w:p>
        </w:tc>
      </w:tr>
      <w:tr w:rsidR="00864C08" w:rsidRPr="001454DF" w14:paraId="6304B900" w14:textId="77777777" w:rsidTr="001454DF">
        <w:trPr>
          <w:trHeight w:val="72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6E3F70E" w14:textId="77777777" w:rsidR="00864C08" w:rsidRPr="001454DF" w:rsidRDefault="00864C08" w:rsidP="001B5D29">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Z0010</w:t>
            </w:r>
          </w:p>
          <w:p w14:paraId="464B1C3C" w14:textId="3289B81E" w:rsidR="00864C08" w:rsidRPr="001454DF" w:rsidDel="001866A4" w:rsidRDefault="00864C08">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(A001)</w:t>
            </w:r>
          </w:p>
        </w:tc>
        <w:tc>
          <w:tcPr>
            <w:tcW w:w="2531" w:type="dxa"/>
            <w:tcBorders>
              <w:top w:val="single" w:sz="4" w:space="0" w:color="auto"/>
              <w:left w:val="nil"/>
              <w:bottom w:val="single" w:sz="4" w:space="0" w:color="auto"/>
              <w:right w:val="single" w:sz="4" w:space="0" w:color="auto"/>
            </w:tcBorders>
            <w:shd w:val="clear" w:color="000000" w:fill="FFFFFF"/>
          </w:tcPr>
          <w:p w14:paraId="4A870E80" w14:textId="089FE589" w:rsidR="00864C08" w:rsidRPr="001454DF" w:rsidRDefault="00864C08">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Article 112 </w:t>
            </w:r>
          </w:p>
        </w:tc>
        <w:tc>
          <w:tcPr>
            <w:tcW w:w="5297" w:type="dxa"/>
            <w:tcBorders>
              <w:top w:val="single" w:sz="4" w:space="0" w:color="auto"/>
              <w:left w:val="nil"/>
              <w:bottom w:val="single" w:sz="4" w:space="0" w:color="auto"/>
              <w:right w:val="single" w:sz="4" w:space="0" w:color="auto"/>
            </w:tcBorders>
            <w:shd w:val="clear" w:color="000000" w:fill="FFFFFF"/>
          </w:tcPr>
          <w:p w14:paraId="0A52AF19" w14:textId="1D5F2235" w:rsidR="00864C08" w:rsidRPr="001454DF" w:rsidRDefault="00864C08" w:rsidP="00E77EF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Identifies whether the reported figures have been requested under Article 112</w:t>
            </w:r>
            <w:r w:rsidR="00907B1F">
              <w:rPr>
                <w:rFonts w:ascii="Times New Roman" w:eastAsia="Times New Roman" w:hAnsi="Times New Roman" w:cs="Times New Roman"/>
                <w:sz w:val="20"/>
                <w:szCs w:val="20"/>
                <w:lang w:val="en-GB" w:eastAsia="es-ES"/>
              </w:rPr>
              <w:t xml:space="preserve"> </w:t>
            </w:r>
            <w:r w:rsidRPr="001454DF">
              <w:rPr>
                <w:rFonts w:ascii="Times New Roman" w:eastAsia="Times New Roman" w:hAnsi="Times New Roman" w:cs="Times New Roman"/>
                <w:sz w:val="20"/>
                <w:szCs w:val="20"/>
                <w:lang w:val="en-GB" w:eastAsia="es-ES"/>
              </w:rPr>
              <w:t>(7), to provide an estimate of the SCR using standard formula. One of the options in the following closed list shall be used:</w:t>
            </w:r>
          </w:p>
          <w:p w14:paraId="2114087B" w14:textId="65B0161B" w:rsidR="00864C08" w:rsidRPr="001454DF" w:rsidRDefault="00864C08" w:rsidP="00E77EF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1 – Article 112</w:t>
            </w:r>
            <w:r w:rsidR="00907B1F">
              <w:rPr>
                <w:rFonts w:ascii="Times New Roman" w:eastAsia="Times New Roman" w:hAnsi="Times New Roman" w:cs="Times New Roman"/>
                <w:sz w:val="20"/>
                <w:szCs w:val="20"/>
                <w:lang w:val="en-GB" w:eastAsia="es-ES"/>
              </w:rPr>
              <w:t xml:space="preserve"> </w:t>
            </w:r>
            <w:r w:rsidRPr="001454DF">
              <w:rPr>
                <w:rFonts w:ascii="Times New Roman" w:eastAsia="Times New Roman" w:hAnsi="Times New Roman" w:cs="Times New Roman"/>
                <w:sz w:val="20"/>
                <w:szCs w:val="20"/>
                <w:lang w:val="en-GB" w:eastAsia="es-ES"/>
              </w:rPr>
              <w:t>(7) reporting</w:t>
            </w:r>
          </w:p>
          <w:p w14:paraId="3A442323" w14:textId="0DC6BAED" w:rsidR="00864C08" w:rsidRPr="001454DF" w:rsidRDefault="00864C08">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2 – Regular reporting</w:t>
            </w:r>
          </w:p>
        </w:tc>
      </w:tr>
      <w:tr w:rsidR="00864C08" w:rsidRPr="001454DF" w14:paraId="64B099C3" w14:textId="77777777" w:rsidTr="001454DF">
        <w:trPr>
          <w:trHeight w:val="1302"/>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91F143E" w14:textId="77777777" w:rsidR="00864C08" w:rsidRPr="001454DF" w:rsidRDefault="00864C08" w:rsidP="001454DF">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Z0020</w:t>
            </w:r>
          </w:p>
          <w:p w14:paraId="672181AE" w14:textId="77777777" w:rsidR="00864C08" w:rsidRPr="001454DF" w:rsidRDefault="00864C08" w:rsidP="001454DF">
            <w:pPr>
              <w:spacing w:after="0" w:line="240" w:lineRule="auto"/>
              <w:rPr>
                <w:rFonts w:ascii="Times New Roman" w:eastAsia="Times New Roman" w:hAnsi="Times New Roman" w:cs="Times New Roman"/>
                <w:sz w:val="20"/>
                <w:szCs w:val="20"/>
                <w:lang w:val="en-GB" w:eastAsia="es-ES"/>
              </w:rPr>
            </w:pP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0B78DC7C" w14:textId="00C390C8" w:rsidR="00864C08" w:rsidRPr="001454DF" w:rsidRDefault="00864C08" w:rsidP="001454DF">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Ring-fenced fund, matching </w:t>
            </w:r>
            <w:r w:rsidR="00F272D7" w:rsidRPr="001454DF">
              <w:rPr>
                <w:rFonts w:ascii="Times New Roman" w:eastAsia="Times New Roman" w:hAnsi="Times New Roman" w:cs="Times New Roman"/>
                <w:sz w:val="20"/>
                <w:szCs w:val="20"/>
                <w:lang w:val="en-GB" w:eastAsia="es-ES"/>
              </w:rPr>
              <w:t xml:space="preserve">adjustment </w:t>
            </w:r>
            <w:r w:rsidRPr="001454DF">
              <w:rPr>
                <w:rFonts w:ascii="Times New Roman" w:eastAsia="Times New Roman" w:hAnsi="Times New Roman" w:cs="Times New Roman"/>
                <w:sz w:val="20"/>
                <w:szCs w:val="20"/>
                <w:lang w:val="en-GB" w:eastAsia="es-ES"/>
              </w:rPr>
              <w:t>portfolio or remaining part</w:t>
            </w:r>
          </w:p>
        </w:tc>
        <w:tc>
          <w:tcPr>
            <w:tcW w:w="5297" w:type="dxa"/>
            <w:tcBorders>
              <w:top w:val="single" w:sz="4" w:space="0" w:color="auto"/>
              <w:left w:val="nil"/>
              <w:bottom w:val="single" w:sz="4" w:space="0" w:color="auto"/>
              <w:right w:val="single" w:sz="4" w:space="0" w:color="auto"/>
            </w:tcBorders>
            <w:shd w:val="clear" w:color="000000" w:fill="FFFFFF"/>
            <w:hideMark/>
          </w:tcPr>
          <w:p w14:paraId="5CB6353D" w14:textId="6995E833" w:rsidR="00CE1622" w:rsidRPr="001454DF" w:rsidRDefault="00864C08" w:rsidP="00CE1622">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Identifies whether the reported figures are with regard to a RFF, matching </w:t>
            </w:r>
            <w:r w:rsidR="00F272D7" w:rsidRPr="001454DF">
              <w:rPr>
                <w:rFonts w:ascii="Times New Roman" w:eastAsia="Times New Roman" w:hAnsi="Times New Roman" w:cs="Times New Roman"/>
                <w:sz w:val="20"/>
                <w:szCs w:val="20"/>
                <w:lang w:val="en-GB" w:eastAsia="es-ES"/>
              </w:rPr>
              <w:t xml:space="preserve">adjustment </w:t>
            </w:r>
            <w:r w:rsidRPr="001454DF">
              <w:rPr>
                <w:rFonts w:ascii="Times New Roman" w:eastAsia="Times New Roman" w:hAnsi="Times New Roman" w:cs="Times New Roman"/>
                <w:sz w:val="20"/>
                <w:szCs w:val="20"/>
                <w:lang w:val="en-GB" w:eastAsia="es-ES"/>
              </w:rPr>
              <w:t>portfolio or to the remaining part. One of the options in the following closed list shall be used:</w:t>
            </w:r>
            <w:r w:rsidRPr="001454DF">
              <w:rPr>
                <w:rFonts w:ascii="Times New Roman" w:eastAsia="Times New Roman" w:hAnsi="Times New Roman" w:cs="Times New Roman"/>
                <w:sz w:val="20"/>
                <w:szCs w:val="20"/>
                <w:lang w:val="en-GB" w:eastAsia="es-ES"/>
              </w:rPr>
              <w:br/>
            </w:r>
            <w:r w:rsidR="00CE1622" w:rsidRPr="001454DF">
              <w:rPr>
                <w:rFonts w:ascii="Times New Roman" w:eastAsia="Times New Roman" w:hAnsi="Times New Roman" w:cs="Times New Roman"/>
                <w:sz w:val="20"/>
                <w:szCs w:val="20"/>
                <w:lang w:val="en-GB" w:eastAsia="es-ES"/>
              </w:rPr>
              <w:t>1 – RFF/MAP</w:t>
            </w:r>
            <w:r w:rsidR="00CE1622" w:rsidRPr="001454DF" w:rsidDel="00C11F0B">
              <w:rPr>
                <w:rFonts w:ascii="Times New Roman" w:eastAsia="Times New Roman" w:hAnsi="Times New Roman" w:cs="Times New Roman"/>
                <w:sz w:val="20"/>
                <w:szCs w:val="20"/>
                <w:lang w:val="en-GB" w:eastAsia="es-ES"/>
              </w:rPr>
              <w:t xml:space="preserve"> </w:t>
            </w:r>
            <w:r w:rsidR="00CE1622" w:rsidRPr="001454DF">
              <w:rPr>
                <w:rFonts w:ascii="Times New Roman" w:eastAsia="Times New Roman" w:hAnsi="Times New Roman" w:cs="Times New Roman"/>
                <w:sz w:val="20"/>
                <w:szCs w:val="20"/>
                <w:lang w:val="en-GB" w:eastAsia="es-ES"/>
              </w:rPr>
              <w:br/>
              <w:t>2 – Remaining part</w:t>
            </w:r>
          </w:p>
          <w:p w14:paraId="75EB733B" w14:textId="4C9073C5" w:rsidR="00864C08" w:rsidRPr="001454DF" w:rsidRDefault="00864C08" w:rsidP="001454DF">
            <w:pPr>
              <w:spacing w:after="0" w:line="240" w:lineRule="auto"/>
              <w:rPr>
                <w:rFonts w:ascii="Times New Roman" w:eastAsia="Times New Roman" w:hAnsi="Times New Roman" w:cs="Times New Roman"/>
                <w:sz w:val="20"/>
                <w:szCs w:val="20"/>
                <w:lang w:val="en-GB" w:eastAsia="es-ES"/>
              </w:rPr>
            </w:pPr>
          </w:p>
        </w:tc>
      </w:tr>
      <w:tr w:rsidR="00864C08" w:rsidRPr="001454DF" w14:paraId="62B872F5" w14:textId="77777777" w:rsidTr="001454DF">
        <w:trPr>
          <w:trHeight w:val="124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0C2D504" w14:textId="77777777" w:rsidR="00864C08" w:rsidRPr="001454DF" w:rsidRDefault="00864C08" w:rsidP="001454DF">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Z0030</w:t>
            </w:r>
          </w:p>
          <w:p w14:paraId="54614EB4" w14:textId="0D72E0E2" w:rsidR="00864C08" w:rsidRPr="001454DF" w:rsidRDefault="00864C08" w:rsidP="001454DF">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(A0)</w:t>
            </w:r>
          </w:p>
        </w:tc>
        <w:tc>
          <w:tcPr>
            <w:tcW w:w="2531" w:type="dxa"/>
            <w:tcBorders>
              <w:top w:val="single" w:sz="4" w:space="0" w:color="auto"/>
              <w:left w:val="nil"/>
              <w:bottom w:val="single" w:sz="4" w:space="0" w:color="auto"/>
              <w:right w:val="single" w:sz="4" w:space="0" w:color="auto"/>
            </w:tcBorders>
            <w:shd w:val="clear" w:color="000000" w:fill="FFFFFF"/>
            <w:hideMark/>
          </w:tcPr>
          <w:p w14:paraId="34152363" w14:textId="46D981DA" w:rsidR="00864C08" w:rsidRPr="001454DF" w:rsidRDefault="00864C08" w:rsidP="001454DF">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Fund/Portfolio number</w:t>
            </w:r>
          </w:p>
        </w:tc>
        <w:tc>
          <w:tcPr>
            <w:tcW w:w="5297" w:type="dxa"/>
            <w:tcBorders>
              <w:top w:val="single" w:sz="4" w:space="0" w:color="auto"/>
              <w:left w:val="nil"/>
              <w:bottom w:val="single" w:sz="4" w:space="0" w:color="auto"/>
              <w:right w:val="single" w:sz="4" w:space="0" w:color="auto"/>
            </w:tcBorders>
            <w:shd w:val="clear" w:color="000000" w:fill="FFFFFF"/>
            <w:hideMark/>
          </w:tcPr>
          <w:p w14:paraId="0E50BCB9" w14:textId="2190A245" w:rsidR="00864C08" w:rsidRPr="001454DF" w:rsidRDefault="00864C08" w:rsidP="00E77EF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Identification number for a ring fenced fund or matching </w:t>
            </w:r>
            <w:r w:rsidR="00F272D7" w:rsidRPr="001454DF">
              <w:rPr>
                <w:rFonts w:ascii="Times New Roman" w:eastAsia="Times New Roman" w:hAnsi="Times New Roman" w:cs="Times New Roman"/>
                <w:sz w:val="20"/>
                <w:szCs w:val="20"/>
                <w:lang w:val="en-GB" w:eastAsia="es-ES"/>
              </w:rPr>
              <w:t xml:space="preserve">adjustment </w:t>
            </w:r>
            <w:r w:rsidRPr="001454DF">
              <w:rPr>
                <w:rFonts w:ascii="Times New Roman" w:eastAsia="Times New Roman" w:hAnsi="Times New Roman" w:cs="Times New Roman"/>
                <w:sz w:val="20"/>
                <w:szCs w:val="20"/>
                <w:lang w:val="en-GB" w:eastAsia="es-ES"/>
              </w:rPr>
              <w:t xml:space="preserve">portfolio. This number is attributed by the undertaking </w:t>
            </w:r>
            <w:r w:rsidR="00AE403B" w:rsidRPr="001454DF">
              <w:rPr>
                <w:rFonts w:ascii="Times New Roman" w:eastAsia="Times New Roman" w:hAnsi="Times New Roman" w:cs="Times New Roman"/>
                <w:sz w:val="20"/>
                <w:szCs w:val="20"/>
                <w:lang w:val="en-GB" w:eastAsia="es-ES"/>
              </w:rPr>
              <w:t xml:space="preserve">within the group </w:t>
            </w:r>
            <w:r w:rsidRPr="001454DF">
              <w:rPr>
                <w:rFonts w:ascii="Times New Roman" w:eastAsia="Times New Roman" w:hAnsi="Times New Roman" w:cs="Times New Roman"/>
                <w:sz w:val="20"/>
                <w:szCs w:val="20"/>
                <w:lang w:val="en-GB" w:eastAsia="es-ES"/>
              </w:rPr>
              <w:t xml:space="preserve">and must be consistent over time and with the fund/portfolio number reported in other templates, e.g. S.26.02, S.14.01, </w:t>
            </w:r>
            <w:proofErr w:type="gramStart"/>
            <w:r w:rsidRPr="001454DF">
              <w:rPr>
                <w:rFonts w:ascii="Times New Roman" w:eastAsia="Times New Roman" w:hAnsi="Times New Roman" w:cs="Times New Roman"/>
                <w:sz w:val="20"/>
                <w:szCs w:val="20"/>
                <w:lang w:val="en-GB" w:eastAsia="es-ES"/>
              </w:rPr>
              <w:t>S.23.01</w:t>
            </w:r>
            <w:proofErr w:type="gramEnd"/>
            <w:r w:rsidRPr="001454DF">
              <w:rPr>
                <w:rFonts w:ascii="Times New Roman" w:eastAsia="Times New Roman" w:hAnsi="Times New Roman" w:cs="Times New Roman"/>
                <w:sz w:val="20"/>
                <w:szCs w:val="20"/>
                <w:lang w:val="en-GB" w:eastAsia="es-ES"/>
              </w:rPr>
              <w:t xml:space="preserve">. </w:t>
            </w:r>
          </w:p>
          <w:p w14:paraId="4A64C532" w14:textId="77777777" w:rsidR="00864C08" w:rsidRPr="001454DF" w:rsidRDefault="00864C08" w:rsidP="00E77EFE">
            <w:pPr>
              <w:spacing w:after="0" w:line="240" w:lineRule="auto"/>
              <w:rPr>
                <w:rFonts w:ascii="Times New Roman" w:eastAsia="Times New Roman" w:hAnsi="Times New Roman" w:cs="Times New Roman"/>
                <w:sz w:val="20"/>
                <w:szCs w:val="20"/>
                <w:lang w:val="en-GB" w:eastAsia="es-ES"/>
              </w:rPr>
            </w:pPr>
          </w:p>
          <w:p w14:paraId="112C11ED" w14:textId="16EDEDA7" w:rsidR="00864C08" w:rsidRPr="001454DF" w:rsidRDefault="00864C08" w:rsidP="001454DF">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item is to be completed only when item Z0020 = 1 </w:t>
            </w:r>
          </w:p>
        </w:tc>
      </w:tr>
      <w:tr w:rsidR="00D27ADE" w:rsidRPr="001454DF" w14:paraId="447AEC4D" w14:textId="77777777" w:rsidTr="001454DF">
        <w:trPr>
          <w:trHeight w:val="72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CEEA1AE" w14:textId="711CAA3A"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R0010/C0010</w:t>
            </w:r>
          </w:p>
          <w:p w14:paraId="70C9E42E" w14:textId="29BD6D93" w:rsidR="002A5EEA" w:rsidRPr="001454DF" w:rsidRDefault="002A5EEA">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(A01)</w:t>
            </w:r>
          </w:p>
        </w:tc>
        <w:tc>
          <w:tcPr>
            <w:tcW w:w="2531" w:type="dxa"/>
            <w:tcBorders>
              <w:top w:val="single" w:sz="4" w:space="0" w:color="auto"/>
              <w:left w:val="nil"/>
              <w:bottom w:val="single" w:sz="4" w:space="0" w:color="auto"/>
              <w:right w:val="single" w:sz="4" w:space="0" w:color="auto"/>
            </w:tcBorders>
            <w:shd w:val="clear" w:color="000000" w:fill="FFFFFF"/>
            <w:hideMark/>
          </w:tcPr>
          <w:p w14:paraId="0C43B146" w14:textId="73BB7691"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Simplifications used – health mortality </w:t>
            </w:r>
            <w:r w:rsidR="002A5EEA" w:rsidRPr="001454DF">
              <w:rPr>
                <w:rFonts w:ascii="Times New Roman" w:eastAsia="Times New Roman" w:hAnsi="Times New Roman" w:cs="Times New Roman"/>
                <w:sz w:val="20"/>
                <w:szCs w:val="20"/>
                <w:lang w:val="en-GB" w:eastAsia="es-ES"/>
              </w:rPr>
              <w:t>risk</w:t>
            </w:r>
          </w:p>
        </w:tc>
        <w:tc>
          <w:tcPr>
            <w:tcW w:w="5297" w:type="dxa"/>
            <w:tcBorders>
              <w:top w:val="single" w:sz="4" w:space="0" w:color="auto"/>
              <w:left w:val="nil"/>
              <w:bottom w:val="single" w:sz="4" w:space="0" w:color="auto"/>
              <w:right w:val="single" w:sz="4" w:space="0" w:color="auto"/>
            </w:tcBorders>
            <w:shd w:val="clear" w:color="auto" w:fill="auto"/>
            <w:hideMark/>
          </w:tcPr>
          <w:p w14:paraId="1BF487F3" w14:textId="54FE3EB9"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Identify whether an undertakings </w:t>
            </w:r>
            <w:r w:rsidR="00AE403B" w:rsidRPr="001454DF">
              <w:rPr>
                <w:rFonts w:ascii="Times New Roman" w:eastAsia="Times New Roman" w:hAnsi="Times New Roman" w:cs="Times New Roman"/>
                <w:sz w:val="20"/>
                <w:szCs w:val="20"/>
                <w:lang w:val="en-GB" w:eastAsia="es-ES"/>
              </w:rPr>
              <w:t xml:space="preserve">within the group </w:t>
            </w:r>
            <w:r w:rsidRPr="001454DF">
              <w:rPr>
                <w:rFonts w:ascii="Times New Roman" w:eastAsia="Times New Roman" w:hAnsi="Times New Roman" w:cs="Times New Roman"/>
                <w:sz w:val="20"/>
                <w:szCs w:val="20"/>
                <w:lang w:val="en-GB" w:eastAsia="es-ES"/>
              </w:rPr>
              <w:t xml:space="preserve">used simplifications for the calculation of health mortality risk. The following options shall be used: </w:t>
            </w:r>
          </w:p>
          <w:p w14:paraId="2661D320" w14:textId="77777777" w:rsidR="002A5EEA" w:rsidRPr="001454DF" w:rsidRDefault="002A5EEA" w:rsidP="002A5EEA">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1 – Simplifications used </w:t>
            </w:r>
          </w:p>
          <w:p w14:paraId="11ED2F78" w14:textId="77777777" w:rsidR="002A5EEA" w:rsidRPr="001454DF" w:rsidRDefault="002A5EEA" w:rsidP="002A5EEA">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2 – Simplifications not used</w:t>
            </w:r>
          </w:p>
          <w:p w14:paraId="01EB004C"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p w14:paraId="7AB31D60" w14:textId="054864B6" w:rsidR="00D27ADE" w:rsidRPr="001454DF" w:rsidRDefault="00D27ADE" w:rsidP="001B5D29">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If R0010/C0010 = 1, only C0060 and C0080 should be filled in for R0100.</w:t>
            </w:r>
          </w:p>
        </w:tc>
      </w:tr>
      <w:tr w:rsidR="00D27ADE" w:rsidRPr="001454DF" w14:paraId="14B9E7FD" w14:textId="77777777" w:rsidTr="001454DF">
        <w:trPr>
          <w:trHeight w:val="72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834F7A4" w14:textId="32AA59E8"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lastRenderedPageBreak/>
              <w:t>R0020/C0010</w:t>
            </w:r>
          </w:p>
          <w:p w14:paraId="1FF13C62" w14:textId="1D94A2DC" w:rsidR="002A5EEA" w:rsidRPr="001454DF" w:rsidRDefault="002A5EEA">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(A02)</w:t>
            </w:r>
          </w:p>
        </w:tc>
        <w:tc>
          <w:tcPr>
            <w:tcW w:w="2531" w:type="dxa"/>
            <w:tcBorders>
              <w:top w:val="single" w:sz="4" w:space="0" w:color="auto"/>
              <w:left w:val="nil"/>
              <w:bottom w:val="single" w:sz="4" w:space="0" w:color="auto"/>
              <w:right w:val="single" w:sz="4" w:space="0" w:color="auto"/>
            </w:tcBorders>
            <w:shd w:val="clear" w:color="000000" w:fill="FFFFFF"/>
            <w:hideMark/>
          </w:tcPr>
          <w:p w14:paraId="04A63D8B" w14:textId="4C47E88E"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Simplifications used  - health  longevity </w:t>
            </w:r>
            <w:r w:rsidR="002A5EEA" w:rsidRPr="001454DF">
              <w:rPr>
                <w:rFonts w:ascii="Times New Roman" w:eastAsia="Times New Roman" w:hAnsi="Times New Roman" w:cs="Times New Roman"/>
                <w:sz w:val="20"/>
                <w:szCs w:val="20"/>
                <w:lang w:val="en-GB" w:eastAsia="es-ES"/>
              </w:rPr>
              <w:t>risk</w:t>
            </w:r>
          </w:p>
        </w:tc>
        <w:tc>
          <w:tcPr>
            <w:tcW w:w="5297" w:type="dxa"/>
            <w:tcBorders>
              <w:top w:val="single" w:sz="4" w:space="0" w:color="auto"/>
              <w:left w:val="nil"/>
              <w:bottom w:val="single" w:sz="4" w:space="0" w:color="auto"/>
              <w:right w:val="single" w:sz="4" w:space="0" w:color="auto"/>
            </w:tcBorders>
            <w:shd w:val="clear" w:color="auto" w:fill="auto"/>
            <w:hideMark/>
          </w:tcPr>
          <w:p w14:paraId="7893AAF9" w14:textId="1B2900A2"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Identify whether an undertaking </w:t>
            </w:r>
            <w:r w:rsidR="00AE403B" w:rsidRPr="001454DF">
              <w:rPr>
                <w:rFonts w:ascii="Times New Roman" w:eastAsia="Times New Roman" w:hAnsi="Times New Roman" w:cs="Times New Roman"/>
                <w:sz w:val="20"/>
                <w:szCs w:val="20"/>
                <w:lang w:val="en-GB" w:eastAsia="es-ES"/>
              </w:rPr>
              <w:t xml:space="preserve">within the group </w:t>
            </w:r>
            <w:r w:rsidRPr="001454DF">
              <w:rPr>
                <w:rFonts w:ascii="Times New Roman" w:eastAsia="Times New Roman" w:hAnsi="Times New Roman" w:cs="Times New Roman"/>
                <w:sz w:val="20"/>
                <w:szCs w:val="20"/>
                <w:lang w:val="en-GB" w:eastAsia="es-ES"/>
              </w:rPr>
              <w:t>used simplifications for the calculation of health longevity risk. The following options shall be used:</w:t>
            </w:r>
          </w:p>
          <w:p w14:paraId="3794B418" w14:textId="77777777" w:rsidR="002A5EEA" w:rsidRPr="001454DF" w:rsidRDefault="002A5EEA" w:rsidP="002A5EEA">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1 – Simplifications used </w:t>
            </w:r>
          </w:p>
          <w:p w14:paraId="5ECDC313" w14:textId="77777777" w:rsidR="002A5EEA" w:rsidRPr="001454DF" w:rsidRDefault="002A5EEA" w:rsidP="002A5EEA">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2 – Simplifications not used</w:t>
            </w:r>
          </w:p>
          <w:p w14:paraId="1D6BB952"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p w14:paraId="7C383E45" w14:textId="38B0B970" w:rsidR="00D27ADE" w:rsidRPr="001454DF" w:rsidRDefault="00D27ADE" w:rsidP="001B5D29">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If R0020/C0010 = 1, only C0060 and C0080 should be filled in for R0200.</w:t>
            </w:r>
          </w:p>
        </w:tc>
      </w:tr>
      <w:tr w:rsidR="00D27ADE" w:rsidRPr="001454DF" w14:paraId="43A79B92" w14:textId="77777777" w:rsidTr="001454DF">
        <w:trPr>
          <w:trHeight w:val="690"/>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37D0FC24" w14:textId="7EBB71CA"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R0030/C0010</w:t>
            </w:r>
          </w:p>
          <w:p w14:paraId="42B916BA" w14:textId="47FE0158" w:rsidR="002A5EEA" w:rsidRPr="001454DF" w:rsidRDefault="002A5EEA">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(A03)</w:t>
            </w:r>
          </w:p>
        </w:tc>
        <w:tc>
          <w:tcPr>
            <w:tcW w:w="2531" w:type="dxa"/>
            <w:tcBorders>
              <w:top w:val="single" w:sz="4" w:space="0" w:color="auto"/>
              <w:left w:val="nil"/>
              <w:bottom w:val="single" w:sz="4" w:space="0" w:color="auto"/>
              <w:right w:val="single" w:sz="4" w:space="0" w:color="auto"/>
            </w:tcBorders>
            <w:shd w:val="clear" w:color="auto" w:fill="auto"/>
            <w:hideMark/>
          </w:tcPr>
          <w:p w14:paraId="51A9A533" w14:textId="161FD3C8"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Simplifications used: health disability- morbidity risk – Medical expenses </w:t>
            </w:r>
          </w:p>
        </w:tc>
        <w:tc>
          <w:tcPr>
            <w:tcW w:w="5297" w:type="dxa"/>
            <w:tcBorders>
              <w:top w:val="single" w:sz="4" w:space="0" w:color="auto"/>
              <w:left w:val="nil"/>
              <w:bottom w:val="single" w:sz="4" w:space="0" w:color="auto"/>
              <w:right w:val="single" w:sz="4" w:space="0" w:color="auto"/>
            </w:tcBorders>
            <w:shd w:val="clear" w:color="auto" w:fill="auto"/>
            <w:hideMark/>
          </w:tcPr>
          <w:p w14:paraId="7433883D" w14:textId="1D4229F8"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Identify whether an undertaking </w:t>
            </w:r>
            <w:r w:rsidR="00AE403B" w:rsidRPr="001454DF">
              <w:rPr>
                <w:rFonts w:ascii="Times New Roman" w:eastAsia="Times New Roman" w:hAnsi="Times New Roman" w:cs="Times New Roman"/>
                <w:sz w:val="20"/>
                <w:szCs w:val="20"/>
                <w:lang w:val="en-GB" w:eastAsia="es-ES"/>
              </w:rPr>
              <w:t xml:space="preserve">within the group </w:t>
            </w:r>
            <w:r w:rsidRPr="001454DF">
              <w:rPr>
                <w:rFonts w:ascii="Times New Roman" w:eastAsia="Times New Roman" w:hAnsi="Times New Roman" w:cs="Times New Roman"/>
                <w:sz w:val="20"/>
                <w:szCs w:val="20"/>
                <w:lang w:val="en-GB" w:eastAsia="es-ES"/>
              </w:rPr>
              <w:t xml:space="preserve">used simplifications for the calculation of health disability morbidity risk – Medical expenses. The following options shall be used: </w:t>
            </w:r>
          </w:p>
          <w:p w14:paraId="67D2A7B7" w14:textId="77777777" w:rsidR="002A5EEA" w:rsidRPr="001454DF" w:rsidRDefault="002A5EEA" w:rsidP="002A5EEA">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1 – Simplifications used </w:t>
            </w:r>
          </w:p>
          <w:p w14:paraId="1779040E" w14:textId="77777777" w:rsidR="002A5EEA" w:rsidRPr="001454DF" w:rsidRDefault="002A5EEA" w:rsidP="002A5EEA">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2 – Simplifications not used</w:t>
            </w:r>
          </w:p>
          <w:p w14:paraId="5B4A5E9B"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p w14:paraId="7BE2B786" w14:textId="5883C465" w:rsidR="00D27ADE" w:rsidRPr="001454DF" w:rsidRDefault="00D27ADE" w:rsidP="001B5D29">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If R0030/C0010 = 1, only C0060 and C0080 should be filled in for R0310.</w:t>
            </w:r>
          </w:p>
        </w:tc>
      </w:tr>
      <w:tr w:rsidR="00D27ADE" w:rsidRPr="001454DF" w14:paraId="698B5D49" w14:textId="77777777" w:rsidTr="001454DF">
        <w:trPr>
          <w:trHeight w:val="76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0F64E67C" w14:textId="54D4ECE4" w:rsidR="00D27ADE" w:rsidRPr="001454DF" w:rsidDel="001866A4"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R0040/C0010</w:t>
            </w:r>
          </w:p>
        </w:tc>
        <w:tc>
          <w:tcPr>
            <w:tcW w:w="2531" w:type="dxa"/>
            <w:tcBorders>
              <w:top w:val="single" w:sz="4" w:space="0" w:color="auto"/>
              <w:left w:val="nil"/>
              <w:bottom w:val="single" w:sz="4" w:space="0" w:color="auto"/>
              <w:right w:val="single" w:sz="4" w:space="0" w:color="auto"/>
            </w:tcBorders>
            <w:shd w:val="clear" w:color="auto" w:fill="auto"/>
          </w:tcPr>
          <w:p w14:paraId="2CEAD5B3" w14:textId="460A4EA8"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Simplifications used: health disability- morbidity risk – Income protection</w:t>
            </w:r>
          </w:p>
        </w:tc>
        <w:tc>
          <w:tcPr>
            <w:tcW w:w="5297" w:type="dxa"/>
            <w:tcBorders>
              <w:top w:val="single" w:sz="4" w:space="0" w:color="auto"/>
              <w:left w:val="nil"/>
              <w:bottom w:val="single" w:sz="4" w:space="0" w:color="auto"/>
              <w:right w:val="single" w:sz="4" w:space="0" w:color="auto"/>
            </w:tcBorders>
            <w:shd w:val="clear" w:color="auto" w:fill="auto"/>
          </w:tcPr>
          <w:p w14:paraId="555AB715" w14:textId="3895B8C0"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Identify whether an undertaking </w:t>
            </w:r>
            <w:r w:rsidR="00AE403B" w:rsidRPr="001454DF">
              <w:rPr>
                <w:rFonts w:ascii="Times New Roman" w:eastAsia="Times New Roman" w:hAnsi="Times New Roman" w:cs="Times New Roman"/>
                <w:sz w:val="20"/>
                <w:szCs w:val="20"/>
                <w:lang w:val="en-GB" w:eastAsia="es-ES"/>
              </w:rPr>
              <w:t xml:space="preserve">within the group </w:t>
            </w:r>
            <w:r w:rsidRPr="001454DF">
              <w:rPr>
                <w:rFonts w:ascii="Times New Roman" w:eastAsia="Times New Roman" w:hAnsi="Times New Roman" w:cs="Times New Roman"/>
                <w:sz w:val="20"/>
                <w:szCs w:val="20"/>
                <w:lang w:val="en-GB" w:eastAsia="es-ES"/>
              </w:rPr>
              <w:t xml:space="preserve">used simplifications for the calculation of health disability morbidity risk – Income protection. The following options shall be used: </w:t>
            </w:r>
          </w:p>
          <w:p w14:paraId="7524EC87" w14:textId="77777777" w:rsidR="002A5EEA" w:rsidRPr="001454DF" w:rsidRDefault="002A5EEA" w:rsidP="002A5EEA">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1 – Simplifications used </w:t>
            </w:r>
          </w:p>
          <w:p w14:paraId="2492DFDF" w14:textId="77777777" w:rsidR="002A5EEA" w:rsidRPr="001454DF" w:rsidRDefault="002A5EEA" w:rsidP="002A5EEA">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2 – Simplifications not used</w:t>
            </w:r>
          </w:p>
          <w:p w14:paraId="62AB8AB5"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p w14:paraId="481505C6" w14:textId="1A2D1784" w:rsidR="00D27ADE" w:rsidRPr="001454DF" w:rsidRDefault="00D27ADE" w:rsidP="001B5D29">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If R0040/C0010 = 1, only C0060 and C0080 should be filled in for R0320.</w:t>
            </w:r>
          </w:p>
        </w:tc>
      </w:tr>
      <w:tr w:rsidR="00D27ADE" w:rsidRPr="001454DF" w14:paraId="515710D5" w14:textId="77777777" w:rsidTr="001454DF">
        <w:trPr>
          <w:trHeight w:val="76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44FDE6B" w14:textId="3C58D3C0"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R0050/C0010</w:t>
            </w:r>
          </w:p>
          <w:p w14:paraId="30E8E48A" w14:textId="27147EAC" w:rsidR="002A5EEA" w:rsidRPr="001454DF" w:rsidRDefault="002A5EEA">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(A04)</w:t>
            </w:r>
          </w:p>
        </w:tc>
        <w:tc>
          <w:tcPr>
            <w:tcW w:w="2531" w:type="dxa"/>
            <w:tcBorders>
              <w:top w:val="single" w:sz="4" w:space="0" w:color="auto"/>
              <w:left w:val="nil"/>
              <w:bottom w:val="single" w:sz="4" w:space="0" w:color="auto"/>
              <w:right w:val="single" w:sz="4" w:space="0" w:color="auto"/>
            </w:tcBorders>
            <w:shd w:val="clear" w:color="000000" w:fill="FFFFFF"/>
            <w:hideMark/>
          </w:tcPr>
          <w:p w14:paraId="719441F8" w14:textId="0B608983"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Simplifications used: SLT lapse risk </w:t>
            </w:r>
          </w:p>
        </w:tc>
        <w:tc>
          <w:tcPr>
            <w:tcW w:w="5297" w:type="dxa"/>
            <w:tcBorders>
              <w:top w:val="single" w:sz="4" w:space="0" w:color="auto"/>
              <w:left w:val="nil"/>
              <w:bottom w:val="single" w:sz="4" w:space="0" w:color="auto"/>
              <w:right w:val="single" w:sz="4" w:space="0" w:color="auto"/>
            </w:tcBorders>
            <w:shd w:val="clear" w:color="000000" w:fill="FFFFFF"/>
            <w:hideMark/>
          </w:tcPr>
          <w:p w14:paraId="5FB3BE01" w14:textId="2C9958A5"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Identify whether an undertaking </w:t>
            </w:r>
            <w:r w:rsidR="00AE403B" w:rsidRPr="001454DF">
              <w:rPr>
                <w:rFonts w:ascii="Times New Roman" w:eastAsia="Times New Roman" w:hAnsi="Times New Roman" w:cs="Times New Roman"/>
                <w:sz w:val="20"/>
                <w:szCs w:val="20"/>
                <w:lang w:val="en-GB" w:eastAsia="es-ES"/>
              </w:rPr>
              <w:t xml:space="preserve">within the group </w:t>
            </w:r>
            <w:r w:rsidRPr="001454DF">
              <w:rPr>
                <w:rFonts w:ascii="Times New Roman" w:eastAsia="Times New Roman" w:hAnsi="Times New Roman" w:cs="Times New Roman"/>
                <w:sz w:val="20"/>
                <w:szCs w:val="20"/>
                <w:lang w:val="en-GB" w:eastAsia="es-ES"/>
              </w:rPr>
              <w:t xml:space="preserve">used simplifications for the calculation of SLT lapse risk. The following options shall be used: </w:t>
            </w:r>
          </w:p>
          <w:p w14:paraId="7CCE6AE3" w14:textId="77777777" w:rsidR="002A5EEA" w:rsidRPr="001454DF" w:rsidRDefault="002A5EEA" w:rsidP="002A5EEA">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1 – Simplifications used </w:t>
            </w:r>
          </w:p>
          <w:p w14:paraId="15E77031" w14:textId="77777777" w:rsidR="002A5EEA" w:rsidRPr="001454DF" w:rsidRDefault="002A5EEA" w:rsidP="002A5EEA">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2 – Simplifications not used</w:t>
            </w:r>
          </w:p>
          <w:p w14:paraId="28473B10"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p w14:paraId="5AAC118E" w14:textId="58E4CD1B" w:rsidR="00D27ADE" w:rsidRPr="001454DF" w:rsidRDefault="00D27ADE" w:rsidP="001B5D29">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If R0050/C0010 = 1, only C0060 and C0080 should be filled in for R0400 </w:t>
            </w:r>
            <w:r w:rsidR="002A5EEA" w:rsidRPr="001454DF">
              <w:rPr>
                <w:rFonts w:ascii="Times New Roman" w:eastAsia="Times New Roman" w:hAnsi="Times New Roman" w:cs="Times New Roman"/>
                <w:sz w:val="20"/>
                <w:szCs w:val="20"/>
                <w:lang w:val="en-GB" w:eastAsia="es-ES"/>
              </w:rPr>
              <w:t>to</w:t>
            </w:r>
            <w:r w:rsidRPr="001454DF">
              <w:rPr>
                <w:rFonts w:ascii="Times New Roman" w:eastAsia="Times New Roman" w:hAnsi="Times New Roman" w:cs="Times New Roman"/>
                <w:sz w:val="20"/>
                <w:szCs w:val="20"/>
                <w:lang w:val="en-GB" w:eastAsia="es-ES"/>
              </w:rPr>
              <w:t xml:space="preserve"> R0420.</w:t>
            </w:r>
          </w:p>
          <w:p w14:paraId="77BAB8F9" w14:textId="2B157485"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R0430 should be fully completed in any case</w:t>
            </w:r>
          </w:p>
        </w:tc>
      </w:tr>
      <w:tr w:rsidR="00D27ADE" w:rsidRPr="001454DF" w14:paraId="419527EC" w14:textId="77777777" w:rsidTr="001454DF">
        <w:trPr>
          <w:trHeight w:val="64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0721BFD" w14:textId="1B7BA108"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R0060/C0010</w:t>
            </w:r>
          </w:p>
          <w:p w14:paraId="496AD850" w14:textId="5BF13F09" w:rsidR="002A5EEA" w:rsidRPr="001454DF" w:rsidRDefault="002A5EEA">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(A05)</w:t>
            </w:r>
          </w:p>
        </w:tc>
        <w:tc>
          <w:tcPr>
            <w:tcW w:w="2531" w:type="dxa"/>
            <w:tcBorders>
              <w:top w:val="single" w:sz="4" w:space="0" w:color="auto"/>
              <w:left w:val="nil"/>
              <w:bottom w:val="single" w:sz="4" w:space="0" w:color="auto"/>
              <w:right w:val="single" w:sz="4" w:space="0" w:color="auto"/>
            </w:tcBorders>
            <w:shd w:val="clear" w:color="000000" w:fill="FFFFFF"/>
            <w:hideMark/>
          </w:tcPr>
          <w:p w14:paraId="22F94889" w14:textId="7B25D6A5"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Simplifications used: health expense  risk </w:t>
            </w:r>
          </w:p>
        </w:tc>
        <w:tc>
          <w:tcPr>
            <w:tcW w:w="5297" w:type="dxa"/>
            <w:tcBorders>
              <w:top w:val="single" w:sz="4" w:space="0" w:color="auto"/>
              <w:left w:val="nil"/>
              <w:bottom w:val="single" w:sz="4" w:space="0" w:color="auto"/>
              <w:right w:val="single" w:sz="4" w:space="0" w:color="auto"/>
            </w:tcBorders>
            <w:shd w:val="clear" w:color="000000" w:fill="FFFFFF"/>
            <w:hideMark/>
          </w:tcPr>
          <w:p w14:paraId="50607095" w14:textId="5B6C314F"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Identify whether an undertaking </w:t>
            </w:r>
            <w:r w:rsidR="00AE403B" w:rsidRPr="001454DF">
              <w:rPr>
                <w:rFonts w:ascii="Times New Roman" w:eastAsia="Times New Roman" w:hAnsi="Times New Roman" w:cs="Times New Roman"/>
                <w:sz w:val="20"/>
                <w:szCs w:val="20"/>
                <w:lang w:val="en-GB" w:eastAsia="es-ES"/>
              </w:rPr>
              <w:t xml:space="preserve">within the group </w:t>
            </w:r>
            <w:r w:rsidRPr="001454DF">
              <w:rPr>
                <w:rFonts w:ascii="Times New Roman" w:eastAsia="Times New Roman" w:hAnsi="Times New Roman" w:cs="Times New Roman"/>
                <w:sz w:val="20"/>
                <w:szCs w:val="20"/>
                <w:lang w:val="en-GB" w:eastAsia="es-ES"/>
              </w:rPr>
              <w:t xml:space="preserve">used simplifications for the calculation of health expense risk. The following options shall be used: </w:t>
            </w:r>
          </w:p>
          <w:p w14:paraId="3A5ED3EC" w14:textId="77777777" w:rsidR="002A5EEA" w:rsidRPr="001454DF" w:rsidRDefault="002A5EEA" w:rsidP="002A5EEA">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1 – Simplifications used </w:t>
            </w:r>
          </w:p>
          <w:p w14:paraId="62F4C865" w14:textId="77777777" w:rsidR="002A5EEA" w:rsidRPr="001454DF" w:rsidRDefault="002A5EEA" w:rsidP="002A5EEA">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2 – Simplifications not used</w:t>
            </w:r>
          </w:p>
          <w:p w14:paraId="2742DDBC" w14:textId="77777777" w:rsidR="002A5EEA" w:rsidRPr="001454DF" w:rsidRDefault="002A5EEA" w:rsidP="001B5D29">
            <w:pPr>
              <w:spacing w:after="0" w:line="240" w:lineRule="auto"/>
              <w:rPr>
                <w:rFonts w:ascii="Times New Roman" w:eastAsia="Times New Roman" w:hAnsi="Times New Roman" w:cs="Times New Roman"/>
                <w:sz w:val="20"/>
                <w:szCs w:val="20"/>
                <w:lang w:val="en-GB" w:eastAsia="es-ES"/>
              </w:rPr>
            </w:pPr>
          </w:p>
          <w:p w14:paraId="0EBE9CE1" w14:textId="2662A95F"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If R0060/C0010 = 1, only C0060 and C0080 should be filled in for R0500.</w:t>
            </w:r>
          </w:p>
        </w:tc>
      </w:tr>
      <w:tr w:rsidR="00D27ADE" w:rsidRPr="001454DF" w14:paraId="2F1EDFB5" w14:textId="77777777" w:rsidTr="001454DF">
        <w:trPr>
          <w:trHeight w:val="285"/>
        </w:trPr>
        <w:tc>
          <w:tcPr>
            <w:tcW w:w="9458" w:type="dxa"/>
            <w:gridSpan w:val="3"/>
            <w:tcBorders>
              <w:top w:val="single" w:sz="4" w:space="0" w:color="auto"/>
            </w:tcBorders>
            <w:shd w:val="clear" w:color="000000" w:fill="FFFFFF"/>
          </w:tcPr>
          <w:p w14:paraId="3E2C0218" w14:textId="77777777" w:rsidR="00D27ADE" w:rsidRPr="001454DF" w:rsidRDefault="00D27ADE" w:rsidP="001454DF">
            <w:pPr>
              <w:pStyle w:val="ListParagraph"/>
              <w:spacing w:after="0" w:line="240" w:lineRule="auto"/>
              <w:ind w:left="239"/>
              <w:rPr>
                <w:rFonts w:ascii="Times New Roman" w:eastAsia="Times New Roman" w:hAnsi="Times New Roman" w:cs="Times New Roman"/>
                <w:b/>
                <w:bCs/>
                <w:sz w:val="20"/>
                <w:szCs w:val="20"/>
                <w:lang w:val="en-GB" w:eastAsia="es-ES"/>
              </w:rPr>
            </w:pPr>
          </w:p>
          <w:p w14:paraId="2A3ADC36" w14:textId="169D5A07" w:rsidR="00D27ADE" w:rsidRPr="001454DF" w:rsidRDefault="002D1567" w:rsidP="001454DF">
            <w:pPr>
              <w:spacing w:after="0" w:line="240" w:lineRule="auto"/>
              <w:ind w:left="239"/>
              <w:rPr>
                <w:rFonts w:ascii="Times New Roman" w:eastAsia="Times New Roman" w:hAnsi="Times New Roman" w:cs="Times New Roman"/>
                <w:b/>
                <w:bCs/>
                <w:sz w:val="20"/>
                <w:szCs w:val="20"/>
                <w:lang w:val="en-GB" w:eastAsia="es-ES"/>
              </w:rPr>
            </w:pPr>
            <w:r w:rsidRPr="001454DF">
              <w:rPr>
                <w:rFonts w:ascii="Times New Roman" w:eastAsia="Times New Roman" w:hAnsi="Times New Roman" w:cs="Times New Roman"/>
                <w:b/>
                <w:bCs/>
                <w:sz w:val="20"/>
                <w:szCs w:val="20"/>
                <w:lang w:val="en-GB" w:eastAsia="es-ES"/>
              </w:rPr>
              <w:t xml:space="preserve">SLT health underwriting risk </w:t>
            </w:r>
          </w:p>
        </w:tc>
      </w:tr>
      <w:tr w:rsidR="00D27ADE" w:rsidRPr="001454DF" w14:paraId="0E1B3776" w14:textId="77777777" w:rsidTr="001454DF">
        <w:trPr>
          <w:trHeight w:val="60"/>
        </w:trPr>
        <w:tc>
          <w:tcPr>
            <w:tcW w:w="9458" w:type="dxa"/>
            <w:gridSpan w:val="3"/>
            <w:tcBorders>
              <w:bottom w:val="single" w:sz="4" w:space="0" w:color="auto"/>
            </w:tcBorders>
            <w:shd w:val="clear" w:color="000000" w:fill="FFFFFF"/>
          </w:tcPr>
          <w:p w14:paraId="4E78DF4C" w14:textId="2D9372C5" w:rsidR="00D27ADE" w:rsidRPr="001454DF" w:rsidRDefault="00D27ADE" w:rsidP="001454DF">
            <w:pPr>
              <w:spacing w:after="0" w:line="240" w:lineRule="auto"/>
              <w:ind w:left="239"/>
              <w:rPr>
                <w:rFonts w:ascii="Times New Roman" w:eastAsia="Times New Roman" w:hAnsi="Times New Roman" w:cs="Times New Roman"/>
                <w:b/>
                <w:bCs/>
                <w:sz w:val="20"/>
                <w:szCs w:val="20"/>
                <w:lang w:val="en-GB" w:eastAsia="es-ES"/>
              </w:rPr>
            </w:pPr>
          </w:p>
        </w:tc>
      </w:tr>
      <w:tr w:rsidR="00D27ADE" w:rsidRPr="001454DF" w14:paraId="1EDEB0F2" w14:textId="77777777" w:rsidTr="001454DF">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FAF7011" w14:textId="7341E6B4"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R0100/C0020</w:t>
            </w:r>
          </w:p>
          <w:p w14:paraId="5E12BD83" w14:textId="386B303E" w:rsidR="002D1567" w:rsidRPr="001454DF" w:rsidRDefault="002D1567">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(A1)</w:t>
            </w:r>
          </w:p>
        </w:tc>
        <w:tc>
          <w:tcPr>
            <w:tcW w:w="2531" w:type="dxa"/>
            <w:tcBorders>
              <w:top w:val="single" w:sz="4" w:space="0" w:color="auto"/>
              <w:left w:val="nil"/>
              <w:bottom w:val="single" w:sz="4" w:space="0" w:color="auto"/>
              <w:right w:val="single" w:sz="4" w:space="0" w:color="auto"/>
            </w:tcBorders>
            <w:shd w:val="clear" w:color="000000" w:fill="FFFFFF"/>
            <w:hideMark/>
          </w:tcPr>
          <w:p w14:paraId="0FFD3D4F"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Initial absolute values before shock – Assets – Health mortality  risk </w:t>
            </w:r>
          </w:p>
        </w:tc>
        <w:tc>
          <w:tcPr>
            <w:tcW w:w="5297" w:type="dxa"/>
            <w:tcBorders>
              <w:top w:val="single" w:sz="4" w:space="0" w:color="auto"/>
              <w:left w:val="nil"/>
              <w:bottom w:val="single" w:sz="4" w:space="0" w:color="auto"/>
              <w:right w:val="single" w:sz="4" w:space="0" w:color="auto"/>
            </w:tcBorders>
            <w:shd w:val="clear" w:color="000000" w:fill="FFFFFF"/>
            <w:hideMark/>
          </w:tcPr>
          <w:p w14:paraId="212B1728" w14:textId="25FCD179"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is the absolute value of the assets subject to health mortality risk, before the shock. </w:t>
            </w:r>
          </w:p>
          <w:p w14:paraId="0D241075"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p w14:paraId="0125B6B3" w14:textId="3B981173"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1454DF" w14:paraId="62CACDB9" w14:textId="77777777" w:rsidTr="001454DF">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D450FA1" w14:textId="7345BC4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R0100/C0030</w:t>
            </w:r>
          </w:p>
          <w:p w14:paraId="289377F7" w14:textId="1D75640A" w:rsidR="005F7B4E" w:rsidRPr="001454DF" w:rsidRDefault="005F7B4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(A1A)</w:t>
            </w:r>
          </w:p>
        </w:tc>
        <w:tc>
          <w:tcPr>
            <w:tcW w:w="2531" w:type="dxa"/>
            <w:tcBorders>
              <w:top w:val="single" w:sz="4" w:space="0" w:color="auto"/>
              <w:left w:val="nil"/>
              <w:bottom w:val="single" w:sz="4" w:space="0" w:color="auto"/>
              <w:right w:val="single" w:sz="4" w:space="0" w:color="auto"/>
            </w:tcBorders>
            <w:shd w:val="clear" w:color="000000" w:fill="FFFFFF"/>
            <w:hideMark/>
          </w:tcPr>
          <w:p w14:paraId="3C6E186C"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Initial absolute values before shock – Liabilities – Health mortality  risk   </w:t>
            </w:r>
          </w:p>
        </w:tc>
        <w:tc>
          <w:tcPr>
            <w:tcW w:w="5297" w:type="dxa"/>
            <w:tcBorders>
              <w:top w:val="single" w:sz="4" w:space="0" w:color="auto"/>
              <w:left w:val="nil"/>
              <w:bottom w:val="single" w:sz="4" w:space="0" w:color="auto"/>
              <w:right w:val="single" w:sz="4" w:space="0" w:color="auto"/>
            </w:tcBorders>
            <w:shd w:val="clear" w:color="000000" w:fill="FFFFFF"/>
            <w:hideMark/>
          </w:tcPr>
          <w:p w14:paraId="6D7FF42F" w14:textId="5554D41F"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is the absolute value of liabilities subject to health mortality risk, before the shock. </w:t>
            </w:r>
          </w:p>
          <w:p w14:paraId="60C7A0BD"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p w14:paraId="66ABAAF8" w14:textId="656E61A1"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The amount of TP shall be net of reinsurance and SPV recoverables.</w:t>
            </w:r>
          </w:p>
        </w:tc>
      </w:tr>
      <w:tr w:rsidR="00D27ADE" w:rsidRPr="001454DF" w14:paraId="5C0B9CA6" w14:textId="77777777" w:rsidTr="001454DF">
        <w:trPr>
          <w:trHeight w:val="75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1A27251A" w14:textId="56A63FA2"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R0100/C0040</w:t>
            </w:r>
          </w:p>
          <w:p w14:paraId="5DC3665B" w14:textId="70EB735E" w:rsidR="005F7B4E" w:rsidRPr="001454DF" w:rsidRDefault="005F7B4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(B1)</w:t>
            </w:r>
          </w:p>
        </w:tc>
        <w:tc>
          <w:tcPr>
            <w:tcW w:w="2531" w:type="dxa"/>
            <w:tcBorders>
              <w:top w:val="single" w:sz="4" w:space="0" w:color="auto"/>
              <w:left w:val="nil"/>
              <w:bottom w:val="single" w:sz="4" w:space="0" w:color="auto"/>
              <w:right w:val="single" w:sz="4" w:space="0" w:color="auto"/>
            </w:tcBorders>
            <w:shd w:val="clear" w:color="000000" w:fill="FFFFFF"/>
            <w:hideMark/>
          </w:tcPr>
          <w:p w14:paraId="2C3A8E32"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values after shock – Assets – Health mortality  risk  </w:t>
            </w:r>
          </w:p>
        </w:tc>
        <w:tc>
          <w:tcPr>
            <w:tcW w:w="5297" w:type="dxa"/>
            <w:tcBorders>
              <w:top w:val="single" w:sz="4" w:space="0" w:color="auto"/>
              <w:left w:val="nil"/>
              <w:bottom w:val="single" w:sz="4" w:space="0" w:color="auto"/>
              <w:right w:val="single" w:sz="4" w:space="0" w:color="auto"/>
            </w:tcBorders>
            <w:shd w:val="clear" w:color="000000" w:fill="FFFFFF"/>
            <w:hideMark/>
          </w:tcPr>
          <w:p w14:paraId="53E2446A"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is the absolute value of the assets subject to health mortality risk charge, after the shock (i.e. permanent increase in mortality rates). </w:t>
            </w:r>
          </w:p>
          <w:p w14:paraId="2A6775F8"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p w14:paraId="5D6DE589" w14:textId="5E256E4E"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1454DF" w14:paraId="77FBAE2D" w14:textId="77777777" w:rsidTr="001454DF">
        <w:trPr>
          <w:trHeight w:val="114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6E7CAF9" w14:textId="402F31D1"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lastRenderedPageBreak/>
              <w:t>R0100/C0050</w:t>
            </w:r>
          </w:p>
          <w:p w14:paraId="0D76F3D2" w14:textId="7222C077" w:rsidR="005F7B4E" w:rsidRPr="001454DF" w:rsidRDefault="005F7B4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(B1A)</w:t>
            </w:r>
          </w:p>
        </w:tc>
        <w:tc>
          <w:tcPr>
            <w:tcW w:w="2531" w:type="dxa"/>
            <w:tcBorders>
              <w:top w:val="single" w:sz="4" w:space="0" w:color="auto"/>
              <w:left w:val="nil"/>
              <w:bottom w:val="single" w:sz="4" w:space="0" w:color="auto"/>
              <w:right w:val="single" w:sz="4" w:space="0" w:color="auto"/>
            </w:tcBorders>
            <w:shd w:val="clear" w:color="000000" w:fill="FFFFFF"/>
            <w:hideMark/>
          </w:tcPr>
          <w:p w14:paraId="27747F81" w14:textId="6D970640"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values after shock – Liabilities (after the loss absorbing capacity of technical provisions) – Health mortality  risk </w:t>
            </w:r>
          </w:p>
        </w:tc>
        <w:tc>
          <w:tcPr>
            <w:tcW w:w="5297" w:type="dxa"/>
            <w:tcBorders>
              <w:top w:val="single" w:sz="4" w:space="0" w:color="auto"/>
              <w:left w:val="nil"/>
              <w:bottom w:val="single" w:sz="4" w:space="0" w:color="auto"/>
              <w:right w:val="single" w:sz="4" w:space="0" w:color="auto"/>
            </w:tcBorders>
            <w:shd w:val="clear" w:color="000000" w:fill="FFFFFF"/>
            <w:hideMark/>
          </w:tcPr>
          <w:p w14:paraId="56A437B3" w14:textId="55D7B198"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the liabilities (after the loss absorbing capacity of technical provisions) subject to health mortality risk charge, after the shock (i.e. permanent increase in mortality rates).</w:t>
            </w:r>
          </w:p>
          <w:p w14:paraId="2CA91348"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p w14:paraId="3B4C44E4" w14:textId="6D55816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The amount of TP shall be net of reinsurance and SPV recoverables.  </w:t>
            </w:r>
          </w:p>
        </w:tc>
      </w:tr>
      <w:tr w:rsidR="00D27ADE" w:rsidRPr="001454DF" w14:paraId="5178A599" w14:textId="77777777" w:rsidTr="001454DF">
        <w:trPr>
          <w:trHeight w:val="154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196BAA96" w14:textId="77AD9BEC"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R0100/C0060</w:t>
            </w:r>
          </w:p>
          <w:p w14:paraId="4198524B" w14:textId="7BC25FF2" w:rsidR="005F7B4E" w:rsidRPr="001454DF" w:rsidRDefault="005F7B4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(C1)</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0B99EB6E" w14:textId="021E8F10"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 after shock – Net solvency capital requirements– Health mortality  risk </w:t>
            </w:r>
          </w:p>
        </w:tc>
        <w:tc>
          <w:tcPr>
            <w:tcW w:w="5297" w:type="dxa"/>
            <w:tcBorders>
              <w:top w:val="single" w:sz="4" w:space="0" w:color="auto"/>
              <w:left w:val="nil"/>
              <w:bottom w:val="single" w:sz="4" w:space="0" w:color="auto"/>
              <w:right w:val="single" w:sz="4" w:space="0" w:color="auto"/>
            </w:tcBorders>
            <w:shd w:val="clear" w:color="000000" w:fill="FFFFFF"/>
            <w:hideMark/>
          </w:tcPr>
          <w:p w14:paraId="2AE988D2" w14:textId="69631188"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net capital charge for health mortality risk, after adjustment for the loss absorbing capacity of technical provisions.</w:t>
            </w:r>
          </w:p>
          <w:p w14:paraId="36318F76" w14:textId="4D580B99"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p w14:paraId="265978B6" w14:textId="09E68106" w:rsidR="00D27ADE" w:rsidRPr="001454DF" w:rsidRDefault="00D27ADE" w:rsidP="001B5D29">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If R0010/C0010=1, this item represents net capital charge for health mortality risk calculated using simplifications.</w:t>
            </w:r>
          </w:p>
        </w:tc>
      </w:tr>
      <w:tr w:rsidR="00D27ADE" w:rsidRPr="001454DF" w14:paraId="2E67B18C" w14:textId="77777777" w:rsidTr="001454DF">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5A9699F" w14:textId="260D7C51"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R0100/C0070</w:t>
            </w:r>
          </w:p>
          <w:p w14:paraId="302679B5" w14:textId="749ED043" w:rsidR="005F7B4E" w:rsidRPr="001454DF" w:rsidRDefault="005F7B4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(B1B)</w:t>
            </w:r>
          </w:p>
        </w:tc>
        <w:tc>
          <w:tcPr>
            <w:tcW w:w="2531" w:type="dxa"/>
            <w:tcBorders>
              <w:top w:val="single" w:sz="4" w:space="0" w:color="auto"/>
              <w:left w:val="nil"/>
              <w:bottom w:val="single" w:sz="4" w:space="0" w:color="auto"/>
              <w:right w:val="single" w:sz="4" w:space="0" w:color="auto"/>
            </w:tcBorders>
            <w:shd w:val="clear" w:color="000000" w:fill="FFFFFF"/>
            <w:hideMark/>
          </w:tcPr>
          <w:p w14:paraId="64E1069D" w14:textId="3B457D1F"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Absolute value after shock – Liabilities (after the loss absorbing capacity of technical provisions) – Health mortality risk</w:t>
            </w:r>
          </w:p>
        </w:tc>
        <w:tc>
          <w:tcPr>
            <w:tcW w:w="5297" w:type="dxa"/>
            <w:tcBorders>
              <w:top w:val="single" w:sz="4" w:space="0" w:color="auto"/>
              <w:left w:val="nil"/>
              <w:bottom w:val="single" w:sz="4" w:space="0" w:color="auto"/>
              <w:right w:val="single" w:sz="4" w:space="0" w:color="auto"/>
            </w:tcBorders>
            <w:shd w:val="clear" w:color="000000" w:fill="FFFFFF"/>
            <w:hideMark/>
          </w:tcPr>
          <w:p w14:paraId="04523ADE" w14:textId="6EA42F85"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the liabilities (</w:t>
            </w:r>
            <w:r w:rsidR="00F60D3B">
              <w:rPr>
                <w:rFonts w:ascii="Times New Roman" w:eastAsia="Times New Roman" w:hAnsi="Times New Roman" w:cs="Times New Roman"/>
                <w:sz w:val="20"/>
                <w:szCs w:val="20"/>
                <w:lang w:val="en-GB" w:eastAsia="es-ES"/>
              </w:rPr>
              <w:t>after</w:t>
            </w:r>
            <w:r w:rsidR="00F60D3B" w:rsidRPr="001454DF">
              <w:rPr>
                <w:rFonts w:ascii="Times New Roman" w:eastAsia="Times New Roman" w:hAnsi="Times New Roman" w:cs="Times New Roman"/>
                <w:sz w:val="20"/>
                <w:szCs w:val="20"/>
                <w:lang w:val="en-GB" w:eastAsia="es-ES"/>
              </w:rPr>
              <w:t xml:space="preserve"> </w:t>
            </w:r>
            <w:r w:rsidRPr="001454DF">
              <w:rPr>
                <w:rFonts w:ascii="Times New Roman" w:eastAsia="Times New Roman" w:hAnsi="Times New Roman" w:cs="Times New Roman"/>
                <w:sz w:val="20"/>
                <w:szCs w:val="20"/>
                <w:lang w:val="en-GB" w:eastAsia="es-ES"/>
              </w:rPr>
              <w:t>the loss absorbing capacity of technical provisions) subject to health mortality risk charge, after the shock (permanent increase in mortality rates).</w:t>
            </w:r>
          </w:p>
          <w:p w14:paraId="61A9003B"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p w14:paraId="27C79339" w14:textId="2B7AD05F" w:rsidR="00D27ADE" w:rsidRPr="001454DF" w:rsidRDefault="00D27ADE" w:rsidP="001B5D29">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The amount of TP shall be net of reinsurance and SPV recoverables.</w:t>
            </w:r>
          </w:p>
        </w:tc>
      </w:tr>
      <w:tr w:rsidR="00D27ADE" w:rsidRPr="001454DF" w14:paraId="5AE1E9A4" w14:textId="77777777" w:rsidTr="001454DF">
        <w:trPr>
          <w:trHeight w:val="1207"/>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C55B70C" w14:textId="198BB5DB"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R0100/C0080</w:t>
            </w:r>
          </w:p>
          <w:p w14:paraId="312CDEFA" w14:textId="1659996D" w:rsidR="005F7B4E" w:rsidRPr="001454DF" w:rsidRDefault="005F7B4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(D1)</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2172E2F5" w14:textId="7342E5E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 after shock – Gross solvency capital– Health mortality risk  </w:t>
            </w:r>
          </w:p>
        </w:tc>
        <w:tc>
          <w:tcPr>
            <w:tcW w:w="5297" w:type="dxa"/>
            <w:tcBorders>
              <w:top w:val="single" w:sz="4" w:space="0" w:color="auto"/>
              <w:left w:val="nil"/>
              <w:bottom w:val="single" w:sz="4" w:space="0" w:color="auto"/>
              <w:right w:val="single" w:sz="4" w:space="0" w:color="auto"/>
            </w:tcBorders>
            <w:shd w:val="clear" w:color="000000" w:fill="FFFFFF"/>
            <w:hideMark/>
          </w:tcPr>
          <w:p w14:paraId="4F798514" w14:textId="687ACE4B"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gross capital charge (before the loss absorbing capacity of technical provisions) for health mortality risk.</w:t>
            </w:r>
          </w:p>
          <w:p w14:paraId="03F33353"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p w14:paraId="37F20621" w14:textId="220D9E00"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If R0010/C0010=1, this item represents gross capital charge for health mortality risk calculated using simplifications.</w:t>
            </w:r>
          </w:p>
        </w:tc>
      </w:tr>
      <w:tr w:rsidR="00D27ADE" w:rsidRPr="001454DF" w14:paraId="36B91465" w14:textId="77777777" w:rsidTr="001454DF">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65BD8C4" w14:textId="7F99587C"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R0200/C0020</w:t>
            </w:r>
          </w:p>
          <w:p w14:paraId="08828C97" w14:textId="1397D75A" w:rsidR="009D70C9" w:rsidRPr="001454DF" w:rsidRDefault="009D70C9">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(A2)</w:t>
            </w:r>
          </w:p>
        </w:tc>
        <w:tc>
          <w:tcPr>
            <w:tcW w:w="2531" w:type="dxa"/>
            <w:tcBorders>
              <w:top w:val="single" w:sz="4" w:space="0" w:color="auto"/>
              <w:left w:val="nil"/>
              <w:bottom w:val="single" w:sz="4" w:space="0" w:color="auto"/>
              <w:right w:val="single" w:sz="4" w:space="0" w:color="auto"/>
            </w:tcBorders>
            <w:shd w:val="clear" w:color="000000" w:fill="FFFFFF"/>
            <w:hideMark/>
          </w:tcPr>
          <w:p w14:paraId="1358307C"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Initial absolute values before shock – Assets – Health longevity  risk </w:t>
            </w:r>
          </w:p>
        </w:tc>
        <w:tc>
          <w:tcPr>
            <w:tcW w:w="5297" w:type="dxa"/>
            <w:tcBorders>
              <w:top w:val="single" w:sz="4" w:space="0" w:color="auto"/>
              <w:left w:val="nil"/>
              <w:bottom w:val="single" w:sz="4" w:space="0" w:color="auto"/>
              <w:right w:val="single" w:sz="4" w:space="0" w:color="auto"/>
            </w:tcBorders>
            <w:shd w:val="clear" w:color="000000" w:fill="FFFFFF"/>
            <w:hideMark/>
          </w:tcPr>
          <w:p w14:paraId="5D057D8D"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is the absolute value of the assets subject to health longevity risk, before the shock. </w:t>
            </w:r>
          </w:p>
          <w:p w14:paraId="36AE748C"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p w14:paraId="3948BE4B" w14:textId="5DB9EF08"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1454DF" w14:paraId="4DDBFDAE" w14:textId="77777777" w:rsidTr="001454DF">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18445694" w14:textId="34C08E5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R0200/C0030</w:t>
            </w:r>
          </w:p>
          <w:p w14:paraId="0911A596" w14:textId="512D6999" w:rsidR="009D70C9" w:rsidRPr="001454DF" w:rsidRDefault="009D70C9">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(A2A)</w:t>
            </w:r>
          </w:p>
        </w:tc>
        <w:tc>
          <w:tcPr>
            <w:tcW w:w="2531" w:type="dxa"/>
            <w:tcBorders>
              <w:top w:val="single" w:sz="4" w:space="0" w:color="auto"/>
              <w:left w:val="nil"/>
              <w:bottom w:val="single" w:sz="4" w:space="0" w:color="auto"/>
              <w:right w:val="single" w:sz="4" w:space="0" w:color="auto"/>
            </w:tcBorders>
            <w:shd w:val="clear" w:color="000000" w:fill="FFFFFF"/>
            <w:hideMark/>
          </w:tcPr>
          <w:p w14:paraId="050A30BB"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Initial absolute values before shock – Liabilities –  Health longevity  risk  </w:t>
            </w:r>
          </w:p>
        </w:tc>
        <w:tc>
          <w:tcPr>
            <w:tcW w:w="5297" w:type="dxa"/>
            <w:tcBorders>
              <w:top w:val="single" w:sz="4" w:space="0" w:color="auto"/>
              <w:left w:val="nil"/>
              <w:bottom w:val="single" w:sz="4" w:space="0" w:color="auto"/>
              <w:right w:val="single" w:sz="4" w:space="0" w:color="auto"/>
            </w:tcBorders>
            <w:shd w:val="clear" w:color="000000" w:fill="FFFFFF"/>
            <w:hideMark/>
          </w:tcPr>
          <w:p w14:paraId="2198866F"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is the absolute value of liabilities subject to health longevity risk, before the shock. </w:t>
            </w:r>
          </w:p>
          <w:p w14:paraId="736A1375"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p w14:paraId="72FC231D" w14:textId="4779661E"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The amount of TP shall be net of reinsurance and SPV recoverables.</w:t>
            </w:r>
          </w:p>
        </w:tc>
      </w:tr>
      <w:tr w:rsidR="00D27ADE" w:rsidRPr="001454DF" w14:paraId="0E8EC24B" w14:textId="77777777" w:rsidTr="001454DF">
        <w:trPr>
          <w:trHeight w:val="72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48640F0" w14:textId="50540690"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R0200/C0040</w:t>
            </w:r>
          </w:p>
          <w:p w14:paraId="5E418534" w14:textId="7521CF17" w:rsidR="009D70C9" w:rsidRPr="001454DF" w:rsidRDefault="009D70C9">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(B2)</w:t>
            </w:r>
          </w:p>
        </w:tc>
        <w:tc>
          <w:tcPr>
            <w:tcW w:w="2531" w:type="dxa"/>
            <w:tcBorders>
              <w:top w:val="single" w:sz="4" w:space="0" w:color="auto"/>
              <w:left w:val="nil"/>
              <w:bottom w:val="single" w:sz="4" w:space="0" w:color="auto"/>
              <w:right w:val="single" w:sz="4" w:space="0" w:color="auto"/>
            </w:tcBorders>
            <w:shd w:val="clear" w:color="000000" w:fill="FFFFFF"/>
            <w:hideMark/>
          </w:tcPr>
          <w:p w14:paraId="12A0137B"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values after shock – Assets –  Health longevity  risk </w:t>
            </w:r>
          </w:p>
        </w:tc>
        <w:tc>
          <w:tcPr>
            <w:tcW w:w="5297" w:type="dxa"/>
            <w:tcBorders>
              <w:top w:val="single" w:sz="4" w:space="0" w:color="auto"/>
              <w:left w:val="nil"/>
              <w:bottom w:val="single" w:sz="4" w:space="0" w:color="auto"/>
              <w:right w:val="single" w:sz="4" w:space="0" w:color="auto"/>
            </w:tcBorders>
            <w:shd w:val="clear" w:color="000000" w:fill="FFFFFF"/>
            <w:hideMark/>
          </w:tcPr>
          <w:p w14:paraId="4113ED62"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the assets subject to health longevity risk after the shock (i.e. permanent decrease in mortality rates).</w:t>
            </w:r>
          </w:p>
          <w:p w14:paraId="34869C86"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p w14:paraId="22180544" w14:textId="2B2F84F1"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1454DF" w14:paraId="5A4588CD" w14:textId="77777777" w:rsidTr="001454DF">
        <w:trPr>
          <w:trHeight w:val="1872"/>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41BA936" w14:textId="25864A68"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R0200/C0050</w:t>
            </w:r>
          </w:p>
          <w:p w14:paraId="5A9788FB" w14:textId="1DB12D80" w:rsidR="009D70C9" w:rsidRPr="001454DF" w:rsidRDefault="009D70C9">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(B2A)</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026EF4D5" w14:textId="2BE12DE2"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Absolute values after shock – Liabilities (after the loss absorbing capacity of technical provisions) –  Health longevity  risk</w:t>
            </w:r>
          </w:p>
        </w:tc>
        <w:tc>
          <w:tcPr>
            <w:tcW w:w="5297" w:type="dxa"/>
            <w:tcBorders>
              <w:top w:val="single" w:sz="4" w:space="0" w:color="auto"/>
              <w:left w:val="nil"/>
              <w:bottom w:val="single" w:sz="4" w:space="0" w:color="auto"/>
              <w:right w:val="single" w:sz="4" w:space="0" w:color="auto"/>
            </w:tcBorders>
            <w:shd w:val="clear" w:color="000000" w:fill="FFFFFF"/>
            <w:hideMark/>
          </w:tcPr>
          <w:p w14:paraId="75B33537" w14:textId="78A9F01E"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the liabilities (after the loss absorbing capacity of technical provisions) subject to health longevity risk, after the shock (i.e. permanent decrease in mortality rates.</w:t>
            </w:r>
          </w:p>
          <w:p w14:paraId="174F550F"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p w14:paraId="770D74C4" w14:textId="4E339AFC"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The amount of TP shall be net of reinsurance and SPV recoverables.</w:t>
            </w:r>
          </w:p>
        </w:tc>
      </w:tr>
      <w:tr w:rsidR="00D27ADE" w:rsidRPr="001454DF" w14:paraId="2E563DAB" w14:textId="77777777" w:rsidTr="001454DF">
        <w:trPr>
          <w:trHeight w:val="163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1C096FD" w14:textId="676C9ED4"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R0200/C0060</w:t>
            </w:r>
          </w:p>
          <w:p w14:paraId="72A7051E" w14:textId="1B023CA5" w:rsidR="009D70C9" w:rsidRPr="001454DF" w:rsidRDefault="009D70C9">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(C2)</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0C7C5161" w14:textId="5FCC13DB"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Absolute value after shock – Net solvency capital requirements–  Health longevity  risk</w:t>
            </w:r>
          </w:p>
        </w:tc>
        <w:tc>
          <w:tcPr>
            <w:tcW w:w="5297" w:type="dxa"/>
            <w:tcBorders>
              <w:top w:val="single" w:sz="4" w:space="0" w:color="auto"/>
              <w:left w:val="nil"/>
              <w:bottom w:val="single" w:sz="4" w:space="0" w:color="auto"/>
              <w:right w:val="single" w:sz="4" w:space="0" w:color="auto"/>
            </w:tcBorders>
            <w:shd w:val="clear" w:color="000000" w:fill="FFFFFF"/>
            <w:hideMark/>
          </w:tcPr>
          <w:p w14:paraId="184AA4EC"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is the net capital charge for health longevity risk, after adjustment for the loss absorbing capacity of technical provisions. </w:t>
            </w:r>
          </w:p>
          <w:p w14:paraId="02A5AB6F"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p w14:paraId="6A6135B5" w14:textId="04C9C0E0"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If R0020/C0010=1, this item represents net capital charge for health longevity risk calculated using simplifications.</w:t>
            </w:r>
          </w:p>
        </w:tc>
      </w:tr>
      <w:tr w:rsidR="00D27ADE" w:rsidRPr="001454DF" w14:paraId="0925076D" w14:textId="77777777" w:rsidTr="001454DF">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1BDC0295" w14:textId="4F8681FE"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R0200/C0070</w:t>
            </w:r>
          </w:p>
          <w:p w14:paraId="0E23F8E3" w14:textId="7915DB53" w:rsidR="009D70C9" w:rsidRPr="001454DF" w:rsidRDefault="009D70C9">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(B2B)</w:t>
            </w:r>
          </w:p>
        </w:tc>
        <w:tc>
          <w:tcPr>
            <w:tcW w:w="2531" w:type="dxa"/>
            <w:tcBorders>
              <w:top w:val="single" w:sz="4" w:space="0" w:color="auto"/>
              <w:left w:val="nil"/>
              <w:bottom w:val="single" w:sz="4" w:space="0" w:color="auto"/>
              <w:right w:val="single" w:sz="4" w:space="0" w:color="auto"/>
            </w:tcBorders>
            <w:shd w:val="clear" w:color="000000" w:fill="FFFFFF"/>
            <w:hideMark/>
          </w:tcPr>
          <w:p w14:paraId="150FCAEC" w14:textId="7635DF76"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 after shock – Liabilities (before the loss absorbing capacity of technical provisions) – Health longevity risk </w:t>
            </w:r>
          </w:p>
        </w:tc>
        <w:tc>
          <w:tcPr>
            <w:tcW w:w="5297" w:type="dxa"/>
            <w:tcBorders>
              <w:top w:val="single" w:sz="4" w:space="0" w:color="auto"/>
              <w:left w:val="nil"/>
              <w:bottom w:val="single" w:sz="4" w:space="0" w:color="auto"/>
              <w:right w:val="single" w:sz="4" w:space="0" w:color="auto"/>
            </w:tcBorders>
            <w:shd w:val="clear" w:color="000000" w:fill="FFFFFF"/>
            <w:hideMark/>
          </w:tcPr>
          <w:p w14:paraId="526AF570" w14:textId="0BCAAB2E"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the liabilities (before the loss absorbing capacity of technical provisions) subject to health longevity risk, after the shock (permanent decrease in mortality rates).</w:t>
            </w:r>
          </w:p>
          <w:p w14:paraId="6C56AEEA"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p w14:paraId="19E88AE4" w14:textId="5481300E"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The amount of TP shall be net of reinsurance and SPV recoverables.</w:t>
            </w:r>
          </w:p>
        </w:tc>
      </w:tr>
      <w:tr w:rsidR="00D27ADE" w:rsidRPr="001454DF" w14:paraId="3AD451D6" w14:textId="77777777" w:rsidTr="001454DF">
        <w:trPr>
          <w:trHeight w:val="1261"/>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4D1743E" w14:textId="519478F0"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R0200/C0080</w:t>
            </w:r>
          </w:p>
          <w:p w14:paraId="0DBEF064" w14:textId="2BD37750" w:rsidR="009D70C9" w:rsidRPr="001454DF" w:rsidRDefault="009D70C9">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(D2)</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7118DC6E" w14:textId="3EE4D3A5"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 after shock – Gross solvency capital–  Health longevity  risk </w:t>
            </w:r>
          </w:p>
        </w:tc>
        <w:tc>
          <w:tcPr>
            <w:tcW w:w="5297" w:type="dxa"/>
            <w:tcBorders>
              <w:top w:val="single" w:sz="4" w:space="0" w:color="auto"/>
              <w:left w:val="nil"/>
              <w:bottom w:val="single" w:sz="4" w:space="0" w:color="auto"/>
              <w:right w:val="single" w:sz="4" w:space="0" w:color="auto"/>
            </w:tcBorders>
            <w:shd w:val="clear" w:color="000000" w:fill="FFFFFF"/>
            <w:hideMark/>
          </w:tcPr>
          <w:p w14:paraId="61CD64D4" w14:textId="6B9840C6"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gross capital charge (before the loss absorbing capacity of technical provisions) for health longevity risk.</w:t>
            </w:r>
          </w:p>
          <w:p w14:paraId="1FA1FACD"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p w14:paraId="2BBADD9B" w14:textId="73A1AE5D"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If R0020/C0010=1, this item represents gross capital charge for health longevity risk calculated using simplifications.</w:t>
            </w:r>
          </w:p>
        </w:tc>
      </w:tr>
      <w:tr w:rsidR="00D27ADE" w:rsidRPr="001454DF" w14:paraId="6AC26650" w14:textId="77777777" w:rsidTr="001454DF">
        <w:trPr>
          <w:trHeight w:val="964"/>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70AE368" w14:textId="697913B6"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R0300/C0060</w:t>
            </w:r>
          </w:p>
          <w:p w14:paraId="223FA0B4" w14:textId="0D3E1AAE" w:rsidR="009D70C9" w:rsidRPr="001454DF" w:rsidRDefault="009D70C9">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(C3)</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7E04E597" w14:textId="0C055C05"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 after shock – Net solvency capital requirements–Health disability - morbidity  risk </w:t>
            </w:r>
          </w:p>
        </w:tc>
        <w:tc>
          <w:tcPr>
            <w:tcW w:w="5297" w:type="dxa"/>
            <w:tcBorders>
              <w:top w:val="single" w:sz="4" w:space="0" w:color="auto"/>
              <w:left w:val="nil"/>
              <w:bottom w:val="single" w:sz="4" w:space="0" w:color="auto"/>
              <w:right w:val="single" w:sz="4" w:space="0" w:color="auto"/>
            </w:tcBorders>
            <w:shd w:val="clear" w:color="000000" w:fill="FFFFFF"/>
            <w:hideMark/>
          </w:tcPr>
          <w:p w14:paraId="1CE8C7A5"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is the net capital charge for health disability - morbidity risk, after adjustment for the loss absorbing capacity of technical provisions. </w:t>
            </w:r>
          </w:p>
          <w:p w14:paraId="293FCD19"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p w14:paraId="60D51CE5" w14:textId="35E106F0"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tc>
      </w:tr>
      <w:tr w:rsidR="00D27ADE" w:rsidRPr="001454DF" w14:paraId="2F92E1A3" w14:textId="77777777" w:rsidTr="001454DF">
        <w:trPr>
          <w:trHeight w:val="1096"/>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6D0D072" w14:textId="212E20C6"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R0300/C0080</w:t>
            </w:r>
          </w:p>
          <w:p w14:paraId="17CF5BF0" w14:textId="5C6EF5B4" w:rsidR="009D70C9" w:rsidRPr="001454DF" w:rsidRDefault="009D70C9">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(D3)</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0906C548" w14:textId="28160E62"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 after shock – Gross solvency capital– Health disability - morbidity  risk </w:t>
            </w:r>
          </w:p>
        </w:tc>
        <w:tc>
          <w:tcPr>
            <w:tcW w:w="5297" w:type="dxa"/>
            <w:tcBorders>
              <w:top w:val="single" w:sz="4" w:space="0" w:color="auto"/>
              <w:left w:val="nil"/>
              <w:bottom w:val="single" w:sz="4" w:space="0" w:color="auto"/>
              <w:right w:val="single" w:sz="4" w:space="0" w:color="auto"/>
            </w:tcBorders>
            <w:shd w:val="clear" w:color="000000" w:fill="FFFFFF"/>
            <w:hideMark/>
          </w:tcPr>
          <w:p w14:paraId="63CB0C62" w14:textId="71328450"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gross capital charge (before the loss absorbing capacity of technical provisions) for health disability - morbidity risk.</w:t>
            </w:r>
          </w:p>
          <w:p w14:paraId="657E0BAD" w14:textId="719996D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tc>
      </w:tr>
      <w:tr w:rsidR="00D27ADE" w:rsidRPr="001454DF" w14:paraId="73F8DAE0" w14:textId="77777777" w:rsidTr="001454DF">
        <w:trPr>
          <w:trHeight w:val="135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4EC899A2" w14:textId="2C3CA9F2" w:rsidR="00D27ADE" w:rsidRPr="001454DF" w:rsidDel="001866A4"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R0310/C0020</w:t>
            </w:r>
          </w:p>
        </w:tc>
        <w:tc>
          <w:tcPr>
            <w:tcW w:w="2531" w:type="dxa"/>
            <w:tcBorders>
              <w:top w:val="single" w:sz="4" w:space="0" w:color="auto"/>
              <w:left w:val="single" w:sz="4" w:space="0" w:color="auto"/>
              <w:bottom w:val="single" w:sz="4" w:space="0" w:color="auto"/>
              <w:right w:val="single" w:sz="4" w:space="0" w:color="auto"/>
            </w:tcBorders>
            <w:shd w:val="clear" w:color="auto" w:fill="auto"/>
          </w:tcPr>
          <w:p w14:paraId="00BAB240" w14:textId="7A10DFEA"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Initial absolute values before shock – Assets – Health disability - morbidity  risk – Medical expenses</w:t>
            </w:r>
          </w:p>
        </w:tc>
        <w:tc>
          <w:tcPr>
            <w:tcW w:w="5297" w:type="dxa"/>
            <w:tcBorders>
              <w:top w:val="single" w:sz="4" w:space="0" w:color="auto"/>
              <w:left w:val="nil"/>
              <w:bottom w:val="single" w:sz="4" w:space="0" w:color="auto"/>
              <w:right w:val="single" w:sz="4" w:space="0" w:color="auto"/>
            </w:tcBorders>
            <w:shd w:val="clear" w:color="auto" w:fill="auto"/>
          </w:tcPr>
          <w:p w14:paraId="590BD73C"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the assets subject to health disability - morbidity risk – Medical expenses, before the shock.</w:t>
            </w:r>
          </w:p>
          <w:p w14:paraId="364CEFCA"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p w14:paraId="1554DEED" w14:textId="4097EDCD"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1454DF" w14:paraId="364E5B7F" w14:textId="77777777" w:rsidTr="001454DF">
        <w:trPr>
          <w:trHeight w:val="1274"/>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2CF1B23C" w14:textId="2E507BB6" w:rsidR="00D27ADE" w:rsidRPr="001454DF" w:rsidDel="001866A4"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R0310/C0030</w:t>
            </w:r>
          </w:p>
        </w:tc>
        <w:tc>
          <w:tcPr>
            <w:tcW w:w="2531" w:type="dxa"/>
            <w:tcBorders>
              <w:top w:val="single" w:sz="4" w:space="0" w:color="auto"/>
              <w:left w:val="single" w:sz="4" w:space="0" w:color="auto"/>
              <w:bottom w:val="single" w:sz="4" w:space="0" w:color="auto"/>
              <w:right w:val="single" w:sz="4" w:space="0" w:color="auto"/>
            </w:tcBorders>
            <w:shd w:val="clear" w:color="auto" w:fill="auto"/>
          </w:tcPr>
          <w:p w14:paraId="4F4F646A" w14:textId="38FD338C"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Initial absolute values before shock – Liabilities – Health disability - morbidity  risk – Medical expenses   </w:t>
            </w:r>
          </w:p>
        </w:tc>
        <w:tc>
          <w:tcPr>
            <w:tcW w:w="5297" w:type="dxa"/>
            <w:tcBorders>
              <w:top w:val="single" w:sz="4" w:space="0" w:color="auto"/>
              <w:left w:val="nil"/>
              <w:bottom w:val="single" w:sz="4" w:space="0" w:color="auto"/>
              <w:right w:val="single" w:sz="4" w:space="0" w:color="auto"/>
            </w:tcBorders>
            <w:shd w:val="clear" w:color="auto" w:fill="auto"/>
          </w:tcPr>
          <w:p w14:paraId="7B1D7C66"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liabilities subject to health disability – morbidity risk – Medical expenses charge, before the shock.</w:t>
            </w:r>
          </w:p>
          <w:p w14:paraId="353A43CD"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p w14:paraId="33CC0E53" w14:textId="1747D4EF"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The amount of TP shall be net of reinsurance and SPV recoverables.</w:t>
            </w:r>
          </w:p>
        </w:tc>
      </w:tr>
      <w:tr w:rsidR="00D27ADE" w:rsidRPr="001454DF" w14:paraId="400044CC" w14:textId="77777777" w:rsidTr="001454DF">
        <w:trPr>
          <w:trHeight w:val="154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7718ECB4" w14:textId="60A6C3F1" w:rsidR="00D27ADE" w:rsidRPr="001454DF" w:rsidDel="001866A4"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R0310/C0040</w:t>
            </w:r>
          </w:p>
        </w:tc>
        <w:tc>
          <w:tcPr>
            <w:tcW w:w="2531" w:type="dxa"/>
            <w:tcBorders>
              <w:top w:val="single" w:sz="4" w:space="0" w:color="auto"/>
              <w:left w:val="single" w:sz="4" w:space="0" w:color="auto"/>
              <w:bottom w:val="single" w:sz="4" w:space="0" w:color="auto"/>
              <w:right w:val="single" w:sz="4" w:space="0" w:color="auto"/>
            </w:tcBorders>
            <w:shd w:val="clear" w:color="auto" w:fill="auto"/>
          </w:tcPr>
          <w:p w14:paraId="123D9FDE" w14:textId="564D34E9"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values after shock – Assets – Health disability - morbidity risk – Medical expenses  </w:t>
            </w:r>
          </w:p>
        </w:tc>
        <w:tc>
          <w:tcPr>
            <w:tcW w:w="5297" w:type="dxa"/>
            <w:tcBorders>
              <w:top w:val="single" w:sz="4" w:space="0" w:color="auto"/>
              <w:left w:val="nil"/>
              <w:bottom w:val="single" w:sz="4" w:space="0" w:color="auto"/>
              <w:right w:val="single" w:sz="4" w:space="0" w:color="auto"/>
            </w:tcBorders>
            <w:shd w:val="clear" w:color="auto" w:fill="auto"/>
          </w:tcPr>
          <w:p w14:paraId="1F8AAE03"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the assets subject to health disability – morbidity risk – Medical expenses charge, after the shock (i.e. as prescribed by standard formula).</w:t>
            </w:r>
          </w:p>
          <w:p w14:paraId="5CC602C0"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p w14:paraId="612ABF78" w14:textId="33645B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1454DF" w14:paraId="6A41DA33" w14:textId="77777777" w:rsidTr="001454DF">
        <w:trPr>
          <w:trHeight w:val="1839"/>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655C16A8" w14:textId="78B7D1AF" w:rsidR="00D27ADE" w:rsidRPr="001454DF" w:rsidDel="001866A4"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R0310/C0050</w:t>
            </w:r>
          </w:p>
        </w:tc>
        <w:tc>
          <w:tcPr>
            <w:tcW w:w="2531" w:type="dxa"/>
            <w:tcBorders>
              <w:top w:val="single" w:sz="4" w:space="0" w:color="auto"/>
              <w:left w:val="single" w:sz="4" w:space="0" w:color="auto"/>
              <w:bottom w:val="single" w:sz="4" w:space="0" w:color="auto"/>
              <w:right w:val="single" w:sz="4" w:space="0" w:color="auto"/>
            </w:tcBorders>
            <w:shd w:val="clear" w:color="auto" w:fill="auto"/>
          </w:tcPr>
          <w:p w14:paraId="18DE0EFD" w14:textId="23D79CFC"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Absolute values after shock – Liabilities (after the loss absorbing capacity of technical provisions) – Health disability - morbidity  risk – Medical expenses</w:t>
            </w:r>
          </w:p>
        </w:tc>
        <w:tc>
          <w:tcPr>
            <w:tcW w:w="5297" w:type="dxa"/>
            <w:tcBorders>
              <w:top w:val="single" w:sz="4" w:space="0" w:color="auto"/>
              <w:left w:val="nil"/>
              <w:bottom w:val="single" w:sz="4" w:space="0" w:color="auto"/>
              <w:right w:val="single" w:sz="4" w:space="0" w:color="auto"/>
            </w:tcBorders>
            <w:shd w:val="clear" w:color="auto" w:fill="auto"/>
          </w:tcPr>
          <w:p w14:paraId="39C096E9"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liabilities (after the loss absorbing capacity of technical provisions) subject to health disability – morbidity risk – Medical expenses, after the shock (i.e. as prescribed by standard formula).</w:t>
            </w:r>
          </w:p>
          <w:p w14:paraId="2C6A4A6D"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p w14:paraId="19F1BF3A" w14:textId="04B61304"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The amount of TP shall be net of reinsurance and SPV recoverables.</w:t>
            </w:r>
          </w:p>
        </w:tc>
      </w:tr>
      <w:tr w:rsidR="00D27ADE" w:rsidRPr="001454DF" w14:paraId="2148C69E" w14:textId="77777777" w:rsidTr="001454DF">
        <w:trPr>
          <w:trHeight w:val="1767"/>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7B5CD753" w14:textId="3EF41E4F" w:rsidR="00D27ADE" w:rsidRPr="001454DF" w:rsidDel="001866A4"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R0310/C0060</w:t>
            </w:r>
          </w:p>
        </w:tc>
        <w:tc>
          <w:tcPr>
            <w:tcW w:w="2531" w:type="dxa"/>
            <w:tcBorders>
              <w:top w:val="single" w:sz="4" w:space="0" w:color="auto"/>
              <w:left w:val="single" w:sz="4" w:space="0" w:color="auto"/>
              <w:bottom w:val="single" w:sz="4" w:space="0" w:color="auto"/>
              <w:right w:val="single" w:sz="4" w:space="0" w:color="auto"/>
            </w:tcBorders>
            <w:shd w:val="clear" w:color="auto" w:fill="auto"/>
          </w:tcPr>
          <w:p w14:paraId="33BD9492" w14:textId="41D0922A"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Absolute value after shock – Net solvency capital requirements–Health disability - morbidity  risk – Medical expenses</w:t>
            </w:r>
          </w:p>
        </w:tc>
        <w:tc>
          <w:tcPr>
            <w:tcW w:w="5297" w:type="dxa"/>
            <w:tcBorders>
              <w:top w:val="single" w:sz="4" w:space="0" w:color="auto"/>
              <w:left w:val="nil"/>
              <w:bottom w:val="single" w:sz="4" w:space="0" w:color="auto"/>
              <w:right w:val="single" w:sz="4" w:space="0" w:color="auto"/>
            </w:tcBorders>
            <w:shd w:val="clear" w:color="auto" w:fill="auto"/>
          </w:tcPr>
          <w:p w14:paraId="26F77DB4" w14:textId="1ECBAE09"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is the net capital charge for health disability - morbidity risk – Medical expenses, after adjustment for the loss absorbing capacity of technical provisions. </w:t>
            </w:r>
          </w:p>
          <w:p w14:paraId="7F9E2E70"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p w14:paraId="0AF983FA" w14:textId="5883A21D"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If R0030/C0010=1, this item represents net capital charge for health disability – morbidity risk – Medical expenses calculated using simplifications.</w:t>
            </w:r>
          </w:p>
        </w:tc>
      </w:tr>
      <w:tr w:rsidR="00D27ADE" w:rsidRPr="001454DF" w14:paraId="589B6D04" w14:textId="77777777" w:rsidTr="001454DF">
        <w:trPr>
          <w:trHeight w:val="197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7FF86918" w14:textId="38A2F778" w:rsidR="00D27ADE" w:rsidRPr="001454DF" w:rsidDel="001866A4"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R0310/C0070</w:t>
            </w:r>
          </w:p>
        </w:tc>
        <w:tc>
          <w:tcPr>
            <w:tcW w:w="2531" w:type="dxa"/>
            <w:tcBorders>
              <w:top w:val="single" w:sz="4" w:space="0" w:color="auto"/>
              <w:left w:val="single" w:sz="4" w:space="0" w:color="auto"/>
              <w:bottom w:val="single" w:sz="4" w:space="0" w:color="auto"/>
              <w:right w:val="single" w:sz="4" w:space="0" w:color="auto"/>
            </w:tcBorders>
            <w:shd w:val="clear" w:color="auto" w:fill="auto"/>
          </w:tcPr>
          <w:p w14:paraId="77E4CBC8" w14:textId="01BB7FB3"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Absolute value after shock – Liabilities (before the loss absorbing capacity of technical provisions) – Health disability - morbidity risk – Medical expenses</w:t>
            </w:r>
          </w:p>
        </w:tc>
        <w:tc>
          <w:tcPr>
            <w:tcW w:w="5297" w:type="dxa"/>
            <w:tcBorders>
              <w:top w:val="single" w:sz="4" w:space="0" w:color="auto"/>
              <w:left w:val="nil"/>
              <w:bottom w:val="single" w:sz="4" w:space="0" w:color="auto"/>
              <w:right w:val="single" w:sz="4" w:space="0" w:color="auto"/>
            </w:tcBorders>
            <w:shd w:val="clear" w:color="auto" w:fill="auto"/>
          </w:tcPr>
          <w:p w14:paraId="580424A4"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the liabilities (before the loss absorbing capacity of technical provisions) underlying health disability - morbidity risk – Medical expenses charge, after the shock (i.e. as prescribed by standard formula) as used to compute the risk.</w:t>
            </w:r>
          </w:p>
          <w:p w14:paraId="31FE9D84"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p w14:paraId="1F6AA07C" w14:textId="0FEDA70D"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The amount of TP shall be net of reinsurance and SPV recoverables.</w:t>
            </w:r>
          </w:p>
        </w:tc>
      </w:tr>
      <w:tr w:rsidR="00D27ADE" w:rsidRPr="001454DF" w14:paraId="6FB5083C" w14:textId="77777777" w:rsidTr="001454DF">
        <w:trPr>
          <w:trHeight w:val="182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5DB22697" w14:textId="5EFC76CE" w:rsidR="00D27ADE" w:rsidRPr="001454DF" w:rsidDel="001866A4"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R0310/C0080</w:t>
            </w:r>
          </w:p>
        </w:tc>
        <w:tc>
          <w:tcPr>
            <w:tcW w:w="2531" w:type="dxa"/>
            <w:tcBorders>
              <w:top w:val="single" w:sz="4" w:space="0" w:color="auto"/>
              <w:left w:val="single" w:sz="4" w:space="0" w:color="auto"/>
              <w:bottom w:val="single" w:sz="4" w:space="0" w:color="auto"/>
              <w:right w:val="single" w:sz="4" w:space="0" w:color="auto"/>
            </w:tcBorders>
            <w:shd w:val="clear" w:color="auto" w:fill="auto"/>
          </w:tcPr>
          <w:p w14:paraId="167F5D87" w14:textId="111EA2EA"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Absolute value after shock – Gross solvency capital– Health disability - morbidity  risk – Medical expenses</w:t>
            </w:r>
          </w:p>
        </w:tc>
        <w:tc>
          <w:tcPr>
            <w:tcW w:w="5297" w:type="dxa"/>
            <w:tcBorders>
              <w:top w:val="single" w:sz="4" w:space="0" w:color="auto"/>
              <w:left w:val="nil"/>
              <w:bottom w:val="single" w:sz="4" w:space="0" w:color="auto"/>
              <w:right w:val="single" w:sz="4" w:space="0" w:color="auto"/>
            </w:tcBorders>
            <w:shd w:val="clear" w:color="auto" w:fill="auto"/>
          </w:tcPr>
          <w:p w14:paraId="42B23192" w14:textId="0031DD49"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gross capital charge (before the loss absorbing capacity of technical provisions) for health disability - morbidity risk – Medical expenses.</w:t>
            </w:r>
          </w:p>
          <w:p w14:paraId="49247D2A"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p w14:paraId="2F33C262" w14:textId="777DB66C"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If R0030/C0010=1, this item represents gross capital charge for health disability – morbidity risk – Medical expenses calculated using simplifications.</w:t>
            </w:r>
          </w:p>
        </w:tc>
      </w:tr>
      <w:tr w:rsidR="00D27ADE" w:rsidRPr="001454DF" w14:paraId="06111592" w14:textId="77777777" w:rsidTr="001454DF">
        <w:trPr>
          <w:trHeight w:val="1400"/>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6AE14059" w14:textId="37C99E43" w:rsidR="00D27ADE" w:rsidRPr="001454DF" w:rsidDel="001866A4"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R0320/C0020</w:t>
            </w:r>
          </w:p>
        </w:tc>
        <w:tc>
          <w:tcPr>
            <w:tcW w:w="2531" w:type="dxa"/>
            <w:tcBorders>
              <w:top w:val="single" w:sz="4" w:space="0" w:color="auto"/>
              <w:left w:val="single" w:sz="4" w:space="0" w:color="auto"/>
              <w:bottom w:val="single" w:sz="4" w:space="0" w:color="auto"/>
              <w:right w:val="single" w:sz="4" w:space="0" w:color="auto"/>
            </w:tcBorders>
            <w:shd w:val="clear" w:color="auto" w:fill="auto"/>
          </w:tcPr>
          <w:p w14:paraId="5E6E7B09" w14:textId="1BC8FBC2"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Initial absolute values before shock – Assets – Health disability - morbidity  risk – Income protection</w:t>
            </w:r>
          </w:p>
        </w:tc>
        <w:tc>
          <w:tcPr>
            <w:tcW w:w="5297" w:type="dxa"/>
            <w:tcBorders>
              <w:top w:val="single" w:sz="4" w:space="0" w:color="auto"/>
              <w:left w:val="nil"/>
              <w:bottom w:val="single" w:sz="4" w:space="0" w:color="auto"/>
              <w:right w:val="single" w:sz="4" w:space="0" w:color="auto"/>
            </w:tcBorders>
            <w:shd w:val="clear" w:color="auto" w:fill="auto"/>
          </w:tcPr>
          <w:p w14:paraId="2C15A44C"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the assets subject to health disability - morbidity risk – Income protection, before the shock.</w:t>
            </w:r>
          </w:p>
          <w:p w14:paraId="554CB6B3"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p w14:paraId="4F72E6E7" w14:textId="7B09C89E" w:rsidR="00D27ADE" w:rsidRPr="001454DF" w:rsidRDefault="00D27ADE" w:rsidP="001B5D29">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1454DF" w14:paraId="2D5C92F1" w14:textId="77777777" w:rsidTr="001454DF">
        <w:trPr>
          <w:trHeight w:val="126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587539DC" w14:textId="4CC943CF" w:rsidR="00D27ADE" w:rsidRPr="001454DF" w:rsidDel="001866A4"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R0320/C0030</w:t>
            </w:r>
          </w:p>
        </w:tc>
        <w:tc>
          <w:tcPr>
            <w:tcW w:w="2531" w:type="dxa"/>
            <w:tcBorders>
              <w:top w:val="single" w:sz="4" w:space="0" w:color="auto"/>
              <w:left w:val="single" w:sz="4" w:space="0" w:color="auto"/>
              <w:bottom w:val="single" w:sz="4" w:space="0" w:color="auto"/>
              <w:right w:val="single" w:sz="4" w:space="0" w:color="auto"/>
            </w:tcBorders>
            <w:shd w:val="clear" w:color="auto" w:fill="auto"/>
          </w:tcPr>
          <w:p w14:paraId="24399320" w14:textId="16F7C471"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Initial absolute values before shock – Liabilities – Health disability - morbidity  risk – Income protection   </w:t>
            </w:r>
          </w:p>
        </w:tc>
        <w:tc>
          <w:tcPr>
            <w:tcW w:w="5297" w:type="dxa"/>
            <w:tcBorders>
              <w:top w:val="single" w:sz="4" w:space="0" w:color="auto"/>
              <w:left w:val="nil"/>
              <w:bottom w:val="single" w:sz="4" w:space="0" w:color="auto"/>
              <w:right w:val="single" w:sz="4" w:space="0" w:color="auto"/>
            </w:tcBorders>
            <w:shd w:val="clear" w:color="auto" w:fill="auto"/>
          </w:tcPr>
          <w:p w14:paraId="2B2E45E3"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liabilities subject to health disability – morbidity risk – Income protection charge, before the shock.</w:t>
            </w:r>
          </w:p>
          <w:p w14:paraId="293BD6BB"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p w14:paraId="4FCE032C" w14:textId="77A97F6C" w:rsidR="00D27ADE" w:rsidRPr="001454DF" w:rsidRDefault="00D27ADE" w:rsidP="001B5D29">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The amount of TP shall be net of reinsurance and SPV recoverables.</w:t>
            </w:r>
          </w:p>
        </w:tc>
      </w:tr>
      <w:tr w:rsidR="00D27ADE" w:rsidRPr="001454DF" w14:paraId="2E9E7AC6" w14:textId="77777777" w:rsidTr="001454DF">
        <w:trPr>
          <w:trHeight w:val="153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537DE6DD" w14:textId="603B4360" w:rsidR="00D27ADE" w:rsidRPr="001454DF" w:rsidDel="001866A4"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R0320/C0040</w:t>
            </w:r>
          </w:p>
        </w:tc>
        <w:tc>
          <w:tcPr>
            <w:tcW w:w="2531" w:type="dxa"/>
            <w:tcBorders>
              <w:top w:val="single" w:sz="4" w:space="0" w:color="auto"/>
              <w:left w:val="single" w:sz="4" w:space="0" w:color="auto"/>
              <w:bottom w:val="single" w:sz="4" w:space="0" w:color="auto"/>
              <w:right w:val="single" w:sz="4" w:space="0" w:color="auto"/>
            </w:tcBorders>
            <w:shd w:val="clear" w:color="auto" w:fill="auto"/>
          </w:tcPr>
          <w:p w14:paraId="200E98C9" w14:textId="27C84AC0"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values after shock – Assets – Health disability - morbidity risk – Income protection  </w:t>
            </w:r>
          </w:p>
        </w:tc>
        <w:tc>
          <w:tcPr>
            <w:tcW w:w="5297" w:type="dxa"/>
            <w:tcBorders>
              <w:top w:val="single" w:sz="4" w:space="0" w:color="auto"/>
              <w:left w:val="nil"/>
              <w:bottom w:val="single" w:sz="4" w:space="0" w:color="auto"/>
              <w:right w:val="single" w:sz="4" w:space="0" w:color="auto"/>
            </w:tcBorders>
            <w:shd w:val="clear" w:color="auto" w:fill="auto"/>
          </w:tcPr>
          <w:p w14:paraId="41623C33"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the assets subject to health disability – morbidity risk – Income protection charge, after the shock (i.e. as prescribed by standard formula).</w:t>
            </w:r>
          </w:p>
          <w:p w14:paraId="1DE43BDB"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p w14:paraId="6B080B18" w14:textId="57D90305" w:rsidR="00D27ADE" w:rsidRPr="001454DF" w:rsidRDefault="00D27ADE" w:rsidP="001B5D29">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1454DF" w14:paraId="069FA83D" w14:textId="77777777" w:rsidTr="001454DF">
        <w:trPr>
          <w:trHeight w:val="1843"/>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10D8DCDE" w14:textId="5C949849" w:rsidR="00D27ADE" w:rsidRPr="001454DF" w:rsidDel="001866A4"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R0320/C0050</w:t>
            </w:r>
          </w:p>
        </w:tc>
        <w:tc>
          <w:tcPr>
            <w:tcW w:w="2531" w:type="dxa"/>
            <w:tcBorders>
              <w:top w:val="single" w:sz="4" w:space="0" w:color="auto"/>
              <w:left w:val="single" w:sz="4" w:space="0" w:color="auto"/>
              <w:bottom w:val="single" w:sz="4" w:space="0" w:color="auto"/>
              <w:right w:val="single" w:sz="4" w:space="0" w:color="auto"/>
            </w:tcBorders>
            <w:shd w:val="clear" w:color="auto" w:fill="auto"/>
          </w:tcPr>
          <w:p w14:paraId="6A9DE971" w14:textId="49E87C92"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Absolute values after shock – Liabilities (after the loss absorbing capacity of technical provisions) – Health disability - morbidity  risk – Income protection</w:t>
            </w:r>
          </w:p>
        </w:tc>
        <w:tc>
          <w:tcPr>
            <w:tcW w:w="5297" w:type="dxa"/>
            <w:tcBorders>
              <w:top w:val="single" w:sz="4" w:space="0" w:color="auto"/>
              <w:left w:val="nil"/>
              <w:bottom w:val="single" w:sz="4" w:space="0" w:color="auto"/>
              <w:right w:val="single" w:sz="4" w:space="0" w:color="auto"/>
            </w:tcBorders>
            <w:shd w:val="clear" w:color="auto" w:fill="auto"/>
          </w:tcPr>
          <w:p w14:paraId="3C8A5AFB"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liabilities (after the loss absorbing capacity of technical provisions) subject to health disability – morbidity risk – Income protection, after the shock (i.e. as prescribed by standard formula).</w:t>
            </w:r>
          </w:p>
          <w:p w14:paraId="22D115B1"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p w14:paraId="4711881D" w14:textId="4A39FE38" w:rsidR="00D27ADE" w:rsidRPr="001454DF" w:rsidRDefault="00D27ADE" w:rsidP="001B5D29">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The amount of TP shall be net of reinsurance and SPV recoverables.</w:t>
            </w:r>
          </w:p>
        </w:tc>
      </w:tr>
      <w:tr w:rsidR="00D27ADE" w:rsidRPr="001454DF" w14:paraId="05F99A57" w14:textId="77777777" w:rsidTr="001454DF">
        <w:trPr>
          <w:trHeight w:val="1729"/>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3605EE9F" w14:textId="4BA2FD43" w:rsidR="00D27ADE" w:rsidRPr="001454DF" w:rsidDel="001866A4"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R0320/C0060</w:t>
            </w:r>
          </w:p>
        </w:tc>
        <w:tc>
          <w:tcPr>
            <w:tcW w:w="2531" w:type="dxa"/>
            <w:tcBorders>
              <w:top w:val="single" w:sz="4" w:space="0" w:color="auto"/>
              <w:left w:val="single" w:sz="4" w:space="0" w:color="auto"/>
              <w:bottom w:val="single" w:sz="4" w:space="0" w:color="auto"/>
              <w:right w:val="single" w:sz="4" w:space="0" w:color="auto"/>
            </w:tcBorders>
            <w:shd w:val="clear" w:color="auto" w:fill="auto"/>
          </w:tcPr>
          <w:p w14:paraId="1CA02806" w14:textId="76FFB830"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Absolute value after shock – Net solvency capital requirements–Health disability - morbidity  risk – Income protection</w:t>
            </w:r>
          </w:p>
        </w:tc>
        <w:tc>
          <w:tcPr>
            <w:tcW w:w="5297" w:type="dxa"/>
            <w:tcBorders>
              <w:top w:val="single" w:sz="4" w:space="0" w:color="auto"/>
              <w:left w:val="nil"/>
              <w:bottom w:val="single" w:sz="4" w:space="0" w:color="auto"/>
              <w:right w:val="single" w:sz="4" w:space="0" w:color="auto"/>
            </w:tcBorders>
            <w:shd w:val="clear" w:color="auto" w:fill="auto"/>
          </w:tcPr>
          <w:p w14:paraId="5924BC4F" w14:textId="7CA58B8E"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is the net capital charge for health disability – morbidity risk – Income protection, after adjustment for the loss absorbing capacity of technical provisions. </w:t>
            </w:r>
          </w:p>
          <w:p w14:paraId="71591ACE"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p w14:paraId="472C34FD" w14:textId="3799A498" w:rsidR="00D27ADE" w:rsidRPr="001454DF" w:rsidRDefault="00D27ADE" w:rsidP="001B5D29">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If R0040/C0010=1, this item represents net capital charge for health disability – morbidity risk – Income protection calculated using simplifications.</w:t>
            </w:r>
          </w:p>
        </w:tc>
      </w:tr>
      <w:tr w:rsidR="00D27ADE" w:rsidRPr="001454DF" w14:paraId="292DEB66" w14:textId="77777777" w:rsidTr="001454DF">
        <w:trPr>
          <w:trHeight w:val="197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53A2B992" w14:textId="4D230AB7" w:rsidR="00D27ADE" w:rsidRPr="001454DF" w:rsidDel="001866A4"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R0320/C0070</w:t>
            </w:r>
          </w:p>
        </w:tc>
        <w:tc>
          <w:tcPr>
            <w:tcW w:w="2531" w:type="dxa"/>
            <w:tcBorders>
              <w:top w:val="single" w:sz="4" w:space="0" w:color="auto"/>
              <w:left w:val="single" w:sz="4" w:space="0" w:color="auto"/>
              <w:bottom w:val="single" w:sz="4" w:space="0" w:color="auto"/>
              <w:right w:val="single" w:sz="4" w:space="0" w:color="auto"/>
            </w:tcBorders>
            <w:shd w:val="clear" w:color="auto" w:fill="auto"/>
          </w:tcPr>
          <w:p w14:paraId="24B5F832" w14:textId="4B4A10C2"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 after shock – Liabilities (before the loss absorbing capacity of technical provisions) – Health disability - morbidity risk – Income protection </w:t>
            </w:r>
          </w:p>
        </w:tc>
        <w:tc>
          <w:tcPr>
            <w:tcW w:w="5297" w:type="dxa"/>
            <w:tcBorders>
              <w:top w:val="single" w:sz="4" w:space="0" w:color="auto"/>
              <w:left w:val="nil"/>
              <w:bottom w:val="single" w:sz="4" w:space="0" w:color="auto"/>
              <w:right w:val="single" w:sz="4" w:space="0" w:color="auto"/>
            </w:tcBorders>
            <w:shd w:val="clear" w:color="auto" w:fill="auto"/>
          </w:tcPr>
          <w:p w14:paraId="2DDA78CC"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the liabilities (before the loss absorbing capacity of technical provisions) underlying health disability - morbidity risk – Income protection charge, after the shock (i.e. as prescribed by standard formula) as used to compute the risk.</w:t>
            </w:r>
          </w:p>
          <w:p w14:paraId="3158E468"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p w14:paraId="73FF6E0D" w14:textId="3A3F2965"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The amount of TP shall be net of reinsurance and SPV recoverables.</w:t>
            </w:r>
          </w:p>
        </w:tc>
      </w:tr>
      <w:tr w:rsidR="00D27ADE" w:rsidRPr="001454DF" w14:paraId="5E62965D" w14:textId="77777777" w:rsidTr="001454DF">
        <w:trPr>
          <w:trHeight w:val="182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61AC7980" w14:textId="545EEE8A" w:rsidR="00D27ADE" w:rsidRPr="001454DF" w:rsidDel="001866A4"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R0320/C0080</w:t>
            </w:r>
          </w:p>
        </w:tc>
        <w:tc>
          <w:tcPr>
            <w:tcW w:w="2531" w:type="dxa"/>
            <w:tcBorders>
              <w:top w:val="single" w:sz="4" w:space="0" w:color="auto"/>
              <w:left w:val="single" w:sz="4" w:space="0" w:color="auto"/>
              <w:bottom w:val="single" w:sz="4" w:space="0" w:color="auto"/>
              <w:right w:val="single" w:sz="4" w:space="0" w:color="auto"/>
            </w:tcBorders>
            <w:shd w:val="clear" w:color="auto" w:fill="auto"/>
          </w:tcPr>
          <w:p w14:paraId="30BE0E59" w14:textId="7371BE1C"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Absolute value after shock – Gross solvency capital– Health disability - morbidity  risk – Income protection</w:t>
            </w:r>
          </w:p>
        </w:tc>
        <w:tc>
          <w:tcPr>
            <w:tcW w:w="5297" w:type="dxa"/>
            <w:tcBorders>
              <w:top w:val="single" w:sz="4" w:space="0" w:color="auto"/>
              <w:left w:val="nil"/>
              <w:bottom w:val="single" w:sz="4" w:space="0" w:color="auto"/>
              <w:right w:val="single" w:sz="4" w:space="0" w:color="auto"/>
            </w:tcBorders>
            <w:shd w:val="clear" w:color="auto" w:fill="auto"/>
          </w:tcPr>
          <w:p w14:paraId="71489F24" w14:textId="6DE9E91F"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gross capital charge (before the loss absorbing capacity of technical provisions) for health disability - morbidity risk – Income protection.</w:t>
            </w:r>
          </w:p>
          <w:p w14:paraId="0A0E2F41"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p w14:paraId="063946ED" w14:textId="0D407498" w:rsidR="00D27ADE" w:rsidRPr="001454DF" w:rsidRDefault="00D27ADE" w:rsidP="001B5D29">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If R0040/C0010=1, this item represents gross capital charge for health disability – morbidity risk – Income protection calculated using simplifications.</w:t>
            </w:r>
          </w:p>
        </w:tc>
      </w:tr>
      <w:tr w:rsidR="00D27ADE" w:rsidRPr="001454DF" w14:paraId="0F649C94" w14:textId="77777777" w:rsidTr="001454DF">
        <w:trPr>
          <w:trHeight w:val="1193"/>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63B527BA" w14:textId="782EA512"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R0400/C0060</w:t>
            </w:r>
          </w:p>
          <w:p w14:paraId="71D2A928" w14:textId="37C1E502" w:rsidR="00933052" w:rsidRPr="001454DF" w:rsidRDefault="00933052">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(C04)</w:t>
            </w:r>
          </w:p>
        </w:tc>
        <w:tc>
          <w:tcPr>
            <w:tcW w:w="2531" w:type="dxa"/>
            <w:tcBorders>
              <w:top w:val="single" w:sz="4" w:space="0" w:color="auto"/>
              <w:left w:val="single" w:sz="4" w:space="0" w:color="auto"/>
              <w:bottom w:val="single" w:sz="4" w:space="0" w:color="auto"/>
              <w:right w:val="single" w:sz="4" w:space="0" w:color="auto"/>
            </w:tcBorders>
            <w:shd w:val="clear" w:color="auto" w:fill="auto"/>
            <w:hideMark/>
          </w:tcPr>
          <w:p w14:paraId="39B06AB4" w14:textId="55B2A00B"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 after shock – Net solvency capital requirements– SLT Health lapse risk </w:t>
            </w:r>
          </w:p>
        </w:tc>
        <w:tc>
          <w:tcPr>
            <w:tcW w:w="5297" w:type="dxa"/>
            <w:tcBorders>
              <w:top w:val="single" w:sz="4" w:space="0" w:color="auto"/>
              <w:left w:val="nil"/>
              <w:bottom w:val="single" w:sz="4" w:space="0" w:color="auto"/>
              <w:right w:val="single" w:sz="4" w:space="0" w:color="auto"/>
            </w:tcBorders>
            <w:shd w:val="clear" w:color="auto" w:fill="auto"/>
            <w:hideMark/>
          </w:tcPr>
          <w:p w14:paraId="3FFA48F1" w14:textId="40B2AFDF"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overall net capital charge for SLT health lapse risk, after adjustment for the loss absorbing capacity of technical provisions</w:t>
            </w:r>
          </w:p>
          <w:p w14:paraId="7FCD1F50"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w:t>
            </w:r>
          </w:p>
          <w:p w14:paraId="7B373120" w14:textId="3804E195"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tc>
      </w:tr>
      <w:tr w:rsidR="00D27ADE" w:rsidRPr="001454DF" w14:paraId="582A5091" w14:textId="77777777" w:rsidTr="001454DF">
        <w:trPr>
          <w:trHeight w:val="102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30563B46" w14:textId="20F2C7CC"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R0400/C0080</w:t>
            </w:r>
          </w:p>
          <w:p w14:paraId="3473EBC5" w14:textId="772CC25F" w:rsidR="00933052" w:rsidRPr="001454DF" w:rsidRDefault="00933052">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(D04)</w:t>
            </w:r>
          </w:p>
        </w:tc>
        <w:tc>
          <w:tcPr>
            <w:tcW w:w="2531" w:type="dxa"/>
            <w:tcBorders>
              <w:top w:val="single" w:sz="4" w:space="0" w:color="auto"/>
              <w:left w:val="single" w:sz="4" w:space="0" w:color="auto"/>
              <w:bottom w:val="single" w:sz="4" w:space="0" w:color="auto"/>
              <w:right w:val="single" w:sz="4" w:space="0" w:color="auto"/>
            </w:tcBorders>
            <w:shd w:val="clear" w:color="auto" w:fill="auto"/>
            <w:hideMark/>
          </w:tcPr>
          <w:p w14:paraId="5E28C06D" w14:textId="41F18844"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 after shock – Gross solvency capital - SLT Health lapse risk </w:t>
            </w:r>
          </w:p>
        </w:tc>
        <w:tc>
          <w:tcPr>
            <w:tcW w:w="5297" w:type="dxa"/>
            <w:tcBorders>
              <w:top w:val="single" w:sz="4" w:space="0" w:color="auto"/>
              <w:left w:val="nil"/>
              <w:right w:val="single" w:sz="4" w:space="0" w:color="auto"/>
            </w:tcBorders>
            <w:shd w:val="clear" w:color="auto" w:fill="auto"/>
            <w:hideMark/>
          </w:tcPr>
          <w:p w14:paraId="5C6B09F6" w14:textId="2AC7B943"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overall gross capital charge (before the loss absorbing capacity for technical provisions) for SLT health lapse risk.</w:t>
            </w:r>
          </w:p>
          <w:p w14:paraId="1169FF95"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w:t>
            </w:r>
          </w:p>
          <w:p w14:paraId="2A7EA91C" w14:textId="410AB769"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tc>
      </w:tr>
      <w:tr w:rsidR="00D27ADE" w:rsidRPr="001454DF" w14:paraId="30463E67" w14:textId="77777777" w:rsidTr="001454DF">
        <w:trPr>
          <w:trHeight w:val="1080"/>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20577826" w14:textId="3326A88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R0410/C0020</w:t>
            </w:r>
          </w:p>
          <w:p w14:paraId="6CB120DC" w14:textId="2D233828" w:rsidR="00933052" w:rsidRPr="001454DF" w:rsidRDefault="00933052">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(A4)</w:t>
            </w:r>
          </w:p>
        </w:tc>
        <w:tc>
          <w:tcPr>
            <w:tcW w:w="2531" w:type="dxa"/>
            <w:tcBorders>
              <w:top w:val="single" w:sz="4" w:space="0" w:color="auto"/>
              <w:left w:val="nil"/>
              <w:bottom w:val="single" w:sz="4" w:space="0" w:color="auto"/>
              <w:right w:val="single" w:sz="4" w:space="0" w:color="auto"/>
            </w:tcBorders>
            <w:shd w:val="clear" w:color="auto" w:fill="auto"/>
            <w:hideMark/>
          </w:tcPr>
          <w:p w14:paraId="6246805F" w14:textId="6D1C0294"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Initial absolute values before shock – Assets – SLT health lapse risk- risk of increase in lapse</w:t>
            </w:r>
          </w:p>
        </w:tc>
        <w:tc>
          <w:tcPr>
            <w:tcW w:w="5297" w:type="dxa"/>
            <w:tcBorders>
              <w:top w:val="single" w:sz="4" w:space="0" w:color="auto"/>
              <w:left w:val="nil"/>
              <w:bottom w:val="single" w:sz="4" w:space="0" w:color="auto"/>
              <w:right w:val="single" w:sz="4" w:space="0" w:color="auto"/>
            </w:tcBorders>
            <w:shd w:val="clear" w:color="auto" w:fill="auto"/>
            <w:hideMark/>
          </w:tcPr>
          <w:p w14:paraId="3B55B514" w14:textId="669BE92A"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is the absolute value of the assets subject to the risk of an increase in lapse rates, before the shock. </w:t>
            </w:r>
          </w:p>
          <w:p w14:paraId="62108712"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p w14:paraId="45B79E71" w14:textId="2F1AB055"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1454DF" w14:paraId="7B023C7B" w14:textId="77777777" w:rsidTr="001454DF">
        <w:trPr>
          <w:trHeight w:val="1140"/>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74C580A3" w14:textId="4EF144B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R0410/C0030</w:t>
            </w:r>
          </w:p>
          <w:p w14:paraId="1CCF2007" w14:textId="047AB35D" w:rsidR="00933052" w:rsidRPr="001454DF" w:rsidRDefault="00933052">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(A4A)</w:t>
            </w:r>
          </w:p>
        </w:tc>
        <w:tc>
          <w:tcPr>
            <w:tcW w:w="2531" w:type="dxa"/>
            <w:tcBorders>
              <w:top w:val="single" w:sz="4" w:space="0" w:color="auto"/>
              <w:left w:val="nil"/>
              <w:bottom w:val="single" w:sz="4" w:space="0" w:color="auto"/>
              <w:right w:val="single" w:sz="4" w:space="0" w:color="auto"/>
            </w:tcBorders>
            <w:shd w:val="clear" w:color="auto" w:fill="auto"/>
            <w:hideMark/>
          </w:tcPr>
          <w:p w14:paraId="510C7838" w14:textId="18E5F095"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Initial absolute values before shock – Liabilities – SLT health lapse risk – risk of increase in lapse </w:t>
            </w:r>
          </w:p>
        </w:tc>
        <w:tc>
          <w:tcPr>
            <w:tcW w:w="5297" w:type="dxa"/>
            <w:tcBorders>
              <w:top w:val="single" w:sz="4" w:space="0" w:color="auto"/>
              <w:left w:val="nil"/>
              <w:bottom w:val="single" w:sz="4" w:space="0" w:color="auto"/>
              <w:right w:val="single" w:sz="4" w:space="0" w:color="auto"/>
            </w:tcBorders>
            <w:shd w:val="clear" w:color="auto" w:fill="auto"/>
            <w:hideMark/>
          </w:tcPr>
          <w:p w14:paraId="2423E9B3" w14:textId="484B3E46"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liabilities subject to the risk of an increase in lapse rates, before the shock.</w:t>
            </w:r>
          </w:p>
          <w:p w14:paraId="10C941FC"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p w14:paraId="666CE7B7" w14:textId="13F51EBE"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The amount of TP shall be net of reinsurance and SPV recoverables.</w:t>
            </w:r>
          </w:p>
        </w:tc>
      </w:tr>
      <w:tr w:rsidR="00D27ADE" w:rsidRPr="001454DF" w14:paraId="60B17906" w14:textId="77777777" w:rsidTr="001454DF">
        <w:trPr>
          <w:trHeight w:val="992"/>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792E2F11" w14:textId="7B1074D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R0410/C0040</w:t>
            </w:r>
          </w:p>
          <w:p w14:paraId="5DC3D048" w14:textId="0B8254F4" w:rsidR="00933052" w:rsidRPr="001454DF" w:rsidRDefault="00933052">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(B4)</w:t>
            </w:r>
          </w:p>
        </w:tc>
        <w:tc>
          <w:tcPr>
            <w:tcW w:w="2531" w:type="dxa"/>
            <w:tcBorders>
              <w:top w:val="single" w:sz="4" w:space="0" w:color="auto"/>
              <w:left w:val="single" w:sz="4" w:space="0" w:color="auto"/>
              <w:bottom w:val="single" w:sz="4" w:space="0" w:color="auto"/>
              <w:right w:val="single" w:sz="4" w:space="0" w:color="auto"/>
            </w:tcBorders>
            <w:shd w:val="clear" w:color="auto" w:fill="auto"/>
            <w:hideMark/>
          </w:tcPr>
          <w:p w14:paraId="3C1A5484" w14:textId="415F4BAD"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values after shock – Assets – SLT health lapse risk –risk of increase in lapse </w:t>
            </w:r>
          </w:p>
        </w:tc>
        <w:tc>
          <w:tcPr>
            <w:tcW w:w="5297" w:type="dxa"/>
            <w:tcBorders>
              <w:top w:val="single" w:sz="4" w:space="0" w:color="auto"/>
              <w:left w:val="nil"/>
              <w:bottom w:val="single" w:sz="4" w:space="0" w:color="auto"/>
              <w:right w:val="single" w:sz="4" w:space="0" w:color="auto"/>
            </w:tcBorders>
            <w:shd w:val="clear" w:color="auto" w:fill="auto"/>
            <w:hideMark/>
          </w:tcPr>
          <w:p w14:paraId="5929172E" w14:textId="59BE660B"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the assets subject to the risk of an increase in lapse rates after the shock (i.e. permanent increase in the rates of lapse).</w:t>
            </w:r>
          </w:p>
          <w:p w14:paraId="2DEB6AD9"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p w14:paraId="3B6EC2A0" w14:textId="232D4C05"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Recoverables from reinsurance and SPVs shall not be included in this cell.</w:t>
            </w:r>
          </w:p>
          <w:p w14:paraId="61DC6F94" w14:textId="0CE22B3F"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w:t>
            </w:r>
          </w:p>
        </w:tc>
      </w:tr>
      <w:tr w:rsidR="00D27ADE" w:rsidRPr="001454DF" w14:paraId="1D1519CB" w14:textId="77777777" w:rsidTr="001454DF">
        <w:trPr>
          <w:trHeight w:val="182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3A1095E0" w14:textId="66CB1B38"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R0410/C0050</w:t>
            </w:r>
          </w:p>
          <w:p w14:paraId="75354AF3" w14:textId="5C2AEA8F" w:rsidR="00933052" w:rsidRPr="001454DF" w:rsidRDefault="00933052">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(B4A)</w:t>
            </w:r>
          </w:p>
        </w:tc>
        <w:tc>
          <w:tcPr>
            <w:tcW w:w="2531" w:type="dxa"/>
            <w:tcBorders>
              <w:top w:val="single" w:sz="4" w:space="0" w:color="auto"/>
              <w:left w:val="single" w:sz="4" w:space="0" w:color="auto"/>
              <w:bottom w:val="single" w:sz="4" w:space="0" w:color="auto"/>
              <w:right w:val="single" w:sz="4" w:space="0" w:color="auto"/>
            </w:tcBorders>
            <w:shd w:val="clear" w:color="auto" w:fill="auto"/>
            <w:hideMark/>
          </w:tcPr>
          <w:p w14:paraId="1889340E" w14:textId="67244D35"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Absolute values after shock – Liabilities (after the loss absorbing capacity of technical provisions) – SLT health  lapse risk –risk of increase in lapse</w:t>
            </w:r>
          </w:p>
        </w:tc>
        <w:tc>
          <w:tcPr>
            <w:tcW w:w="5297" w:type="dxa"/>
            <w:tcBorders>
              <w:top w:val="single" w:sz="4" w:space="0" w:color="auto"/>
              <w:left w:val="nil"/>
              <w:bottom w:val="single" w:sz="4" w:space="0" w:color="auto"/>
              <w:right w:val="single" w:sz="4" w:space="0" w:color="auto"/>
            </w:tcBorders>
            <w:shd w:val="clear" w:color="auto" w:fill="auto"/>
            <w:hideMark/>
          </w:tcPr>
          <w:p w14:paraId="629EC697" w14:textId="6F64816C"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the liabilities (after the loss absorbing capacity of technical provisions) subject to the risk of an increase in lapse rates, after the shock (i.e. permanent increase of the rates of lapse).</w:t>
            </w:r>
          </w:p>
          <w:p w14:paraId="3DA9095C"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p w14:paraId="18D8D9F4" w14:textId="522E1CB6"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The amount of TP shall be net of reinsurance and SPV recoverables.</w:t>
            </w:r>
          </w:p>
          <w:p w14:paraId="00356FF7" w14:textId="00ED5844" w:rsidR="00D27ADE" w:rsidRPr="001454DF" w:rsidRDefault="00D27ADE">
            <w:pPr>
              <w:spacing w:after="0" w:line="240" w:lineRule="auto"/>
              <w:rPr>
                <w:rFonts w:ascii="Times New Roman" w:eastAsia="Times New Roman" w:hAnsi="Times New Roman" w:cs="Times New Roman"/>
                <w:sz w:val="20"/>
                <w:szCs w:val="20"/>
                <w:lang w:val="en-GB" w:eastAsia="es-ES"/>
              </w:rPr>
            </w:pPr>
          </w:p>
        </w:tc>
      </w:tr>
      <w:tr w:rsidR="00D27ADE" w:rsidRPr="001454DF" w14:paraId="0AB3C82D" w14:textId="77777777" w:rsidTr="001454DF">
        <w:trPr>
          <w:trHeight w:val="566"/>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D59D77D" w14:textId="738ECDE4"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R0410/C0060</w:t>
            </w:r>
          </w:p>
          <w:p w14:paraId="6D67E7FA" w14:textId="79496E97" w:rsidR="00933052" w:rsidRPr="001454DF" w:rsidRDefault="00933052">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(C4)</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463B5EBA" w14:textId="72E89CFC"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Absolute value after shock – Net solvency capital requirements– SLT health lapse risk –risk of increase in lapse</w:t>
            </w:r>
          </w:p>
        </w:tc>
        <w:tc>
          <w:tcPr>
            <w:tcW w:w="5297" w:type="dxa"/>
            <w:tcBorders>
              <w:top w:val="single" w:sz="4" w:space="0" w:color="auto"/>
              <w:left w:val="nil"/>
              <w:bottom w:val="single" w:sz="4" w:space="0" w:color="auto"/>
              <w:right w:val="single" w:sz="4" w:space="0" w:color="auto"/>
            </w:tcBorders>
            <w:shd w:val="clear" w:color="000000" w:fill="FFFFFF"/>
            <w:hideMark/>
          </w:tcPr>
          <w:p w14:paraId="6EADD79D" w14:textId="5BEDDAD8"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is the net </w:t>
            </w:r>
            <w:proofErr w:type="spellStart"/>
            <w:r w:rsidRPr="001454DF">
              <w:rPr>
                <w:rFonts w:ascii="Times New Roman" w:eastAsia="Times New Roman" w:hAnsi="Times New Roman" w:cs="Times New Roman"/>
                <w:sz w:val="20"/>
                <w:szCs w:val="20"/>
                <w:lang w:val="en-GB" w:eastAsia="es-ES"/>
              </w:rPr>
              <w:t>caital</w:t>
            </w:r>
            <w:proofErr w:type="spellEnd"/>
            <w:r w:rsidRPr="001454DF">
              <w:rPr>
                <w:rFonts w:ascii="Times New Roman" w:eastAsia="Times New Roman" w:hAnsi="Times New Roman" w:cs="Times New Roman"/>
                <w:sz w:val="20"/>
                <w:szCs w:val="20"/>
                <w:lang w:val="en-GB" w:eastAsia="es-ES"/>
              </w:rPr>
              <w:t xml:space="preserve"> charge for the risk of a permanent increase in lapse rates, after adjustment for the loss absorbing capacity of technical provisions.</w:t>
            </w:r>
          </w:p>
          <w:p w14:paraId="4E65C115"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p w14:paraId="23D05759" w14:textId="7784A2B2"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If R0050/C0010=1, this item represents net capital charge for a permanent increase in SLT health  lapse rates, calculated using simplified calculation for SLT health  lapse rate </w:t>
            </w:r>
          </w:p>
        </w:tc>
      </w:tr>
      <w:tr w:rsidR="00D27ADE" w:rsidRPr="001454DF" w14:paraId="1DEF6718" w14:textId="77777777" w:rsidTr="001454DF">
        <w:trPr>
          <w:trHeight w:val="1917"/>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1B82908F" w14:textId="7D557EF6"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R0410/C0070</w:t>
            </w:r>
          </w:p>
          <w:p w14:paraId="03C20B5A" w14:textId="77195ECC" w:rsidR="00933052" w:rsidRPr="001454DF" w:rsidRDefault="00933052">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(B4B)</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463A3ADC" w14:textId="01E9A9F9"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 after shock – Liabilities (before the loss absorbing capacity of technical provisions) – Health lapse risk – risk of increase in lapse </w:t>
            </w:r>
            <w:proofErr w:type="spellStart"/>
            <w:r w:rsidRPr="001454DF">
              <w:rPr>
                <w:rFonts w:ascii="Times New Roman" w:eastAsia="Times New Roman" w:hAnsi="Times New Roman" w:cs="Times New Roman"/>
                <w:sz w:val="20"/>
                <w:szCs w:val="20"/>
                <w:lang w:val="en-GB" w:eastAsia="es-ES"/>
              </w:rPr>
              <w:t>lapse</w:t>
            </w:r>
            <w:proofErr w:type="spellEnd"/>
          </w:p>
        </w:tc>
        <w:tc>
          <w:tcPr>
            <w:tcW w:w="5297" w:type="dxa"/>
            <w:tcBorders>
              <w:top w:val="single" w:sz="4" w:space="0" w:color="auto"/>
              <w:left w:val="nil"/>
              <w:bottom w:val="single" w:sz="4" w:space="0" w:color="auto"/>
              <w:right w:val="single" w:sz="4" w:space="0" w:color="auto"/>
            </w:tcBorders>
            <w:shd w:val="clear" w:color="000000" w:fill="FFFFFF"/>
            <w:hideMark/>
          </w:tcPr>
          <w:p w14:paraId="42F0E87B" w14:textId="004ADE8C"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the liabilities (before the loss absorbing capacity of technical provisions) underlying the risk of a permanent increase in lapse rates, after the shock (permanent increase in lapse rates) as used to compute the risk.</w:t>
            </w:r>
          </w:p>
          <w:p w14:paraId="4E105F5D"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p w14:paraId="2F13995E" w14:textId="53485D7A"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The amount of TP shall be net of reinsurance and SPV recoverables. </w:t>
            </w:r>
          </w:p>
        </w:tc>
      </w:tr>
      <w:tr w:rsidR="00D27ADE" w:rsidRPr="001454DF" w14:paraId="5D617B85" w14:textId="77777777" w:rsidTr="001454DF">
        <w:trPr>
          <w:trHeight w:val="1686"/>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4B24AD0" w14:textId="479AC772"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R0410/C0080</w:t>
            </w:r>
          </w:p>
          <w:p w14:paraId="60567BA3" w14:textId="25D895BC" w:rsidR="00933052" w:rsidRPr="001454DF" w:rsidRDefault="00933052">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(D4)</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70D20017" w14:textId="0B9C3E5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Absolute value after shock – Gross solvency capital - SLT health lapse risk –risk of increase in lapse</w:t>
            </w:r>
          </w:p>
        </w:tc>
        <w:tc>
          <w:tcPr>
            <w:tcW w:w="5297" w:type="dxa"/>
            <w:tcBorders>
              <w:top w:val="single" w:sz="4" w:space="0" w:color="auto"/>
              <w:left w:val="nil"/>
              <w:bottom w:val="single" w:sz="4" w:space="0" w:color="auto"/>
              <w:right w:val="single" w:sz="4" w:space="0" w:color="auto"/>
            </w:tcBorders>
            <w:shd w:val="clear" w:color="000000" w:fill="FFFFFF"/>
            <w:hideMark/>
          </w:tcPr>
          <w:p w14:paraId="435A776E" w14:textId="3335B5E8"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gross capital charge (excluding the loss absorbing capacity for technical provisions)   for the risk of a permanent increase in lapse rates.</w:t>
            </w:r>
          </w:p>
          <w:p w14:paraId="00A48138"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p w14:paraId="3419D086" w14:textId="12A5A2E8"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If R0050/C0010=1, this item represents gross capital charge for a permanent increase in lapse rates, calculated using simplified calculation for SLT health lapse rate.</w:t>
            </w:r>
          </w:p>
        </w:tc>
      </w:tr>
      <w:tr w:rsidR="00D27ADE" w:rsidRPr="001454DF" w14:paraId="004BBD43" w14:textId="77777777" w:rsidTr="001454DF">
        <w:trPr>
          <w:trHeight w:val="100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A226216" w14:textId="52818818"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R0420/C0020</w:t>
            </w:r>
          </w:p>
          <w:p w14:paraId="539F1429" w14:textId="7A12295C" w:rsidR="00E77EFE" w:rsidRPr="001454DF" w:rsidRDefault="00E77EF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(A5)</w:t>
            </w:r>
          </w:p>
        </w:tc>
        <w:tc>
          <w:tcPr>
            <w:tcW w:w="2531" w:type="dxa"/>
            <w:tcBorders>
              <w:top w:val="single" w:sz="4" w:space="0" w:color="auto"/>
              <w:left w:val="nil"/>
              <w:bottom w:val="single" w:sz="4" w:space="0" w:color="auto"/>
              <w:right w:val="single" w:sz="4" w:space="0" w:color="auto"/>
            </w:tcBorders>
            <w:shd w:val="clear" w:color="000000" w:fill="FFFFFF"/>
            <w:hideMark/>
          </w:tcPr>
          <w:p w14:paraId="18D55565" w14:textId="4E4EEC8A"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Initial absolute values before shock – Assets – SLT health lapse risk- risk of decrease in lapse</w:t>
            </w:r>
          </w:p>
        </w:tc>
        <w:tc>
          <w:tcPr>
            <w:tcW w:w="5297" w:type="dxa"/>
            <w:tcBorders>
              <w:top w:val="single" w:sz="4" w:space="0" w:color="auto"/>
              <w:left w:val="nil"/>
              <w:bottom w:val="single" w:sz="4" w:space="0" w:color="auto"/>
              <w:right w:val="single" w:sz="4" w:space="0" w:color="auto"/>
            </w:tcBorders>
            <w:shd w:val="clear" w:color="000000" w:fill="FFFFFF"/>
            <w:hideMark/>
          </w:tcPr>
          <w:p w14:paraId="1BCA11C4" w14:textId="44D55295"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is the absolute value of the assets subject to the risk of a permanent decrease in lapse rates, before the shock. </w:t>
            </w:r>
          </w:p>
          <w:p w14:paraId="32185DA7"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p w14:paraId="4B39B7C4" w14:textId="6BCD9426" w:rsidR="00D27ADE" w:rsidRPr="001454DF" w:rsidRDefault="00D27ADE" w:rsidP="001B5D29">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1454DF" w14:paraId="0DB55104" w14:textId="77777777" w:rsidTr="001454DF">
        <w:trPr>
          <w:trHeight w:val="283"/>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56EEBE6" w14:textId="67DF690E"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R0420/C0030</w:t>
            </w:r>
          </w:p>
          <w:p w14:paraId="7B0BEF23" w14:textId="19531922" w:rsidR="00E77EFE" w:rsidRPr="001454DF" w:rsidRDefault="00E77EF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(A5A)</w:t>
            </w:r>
          </w:p>
        </w:tc>
        <w:tc>
          <w:tcPr>
            <w:tcW w:w="2531" w:type="dxa"/>
            <w:tcBorders>
              <w:top w:val="single" w:sz="4" w:space="0" w:color="auto"/>
              <w:left w:val="nil"/>
              <w:bottom w:val="single" w:sz="4" w:space="0" w:color="auto"/>
              <w:right w:val="single" w:sz="4" w:space="0" w:color="auto"/>
            </w:tcBorders>
            <w:shd w:val="clear" w:color="000000" w:fill="FFFFFF"/>
            <w:hideMark/>
          </w:tcPr>
          <w:p w14:paraId="13E21A50" w14:textId="00CE2F02"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Initial absolute values before shock – Liabilities – SLT health lapse risk – risk of decrease in lapse </w:t>
            </w:r>
          </w:p>
        </w:tc>
        <w:tc>
          <w:tcPr>
            <w:tcW w:w="5297" w:type="dxa"/>
            <w:tcBorders>
              <w:top w:val="single" w:sz="4" w:space="0" w:color="auto"/>
              <w:left w:val="nil"/>
              <w:bottom w:val="single" w:sz="4" w:space="0" w:color="auto"/>
              <w:right w:val="single" w:sz="4" w:space="0" w:color="auto"/>
            </w:tcBorders>
            <w:shd w:val="clear" w:color="000000" w:fill="FFFFFF"/>
            <w:hideMark/>
          </w:tcPr>
          <w:p w14:paraId="2EBC32EC" w14:textId="00EE08F1"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is the absolute value of liabilities subject to the risk of a permanent decrease in lapse rates, before the shock. </w:t>
            </w:r>
          </w:p>
          <w:p w14:paraId="100BC94A"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p w14:paraId="641827A2" w14:textId="04FA43E8" w:rsidR="00D27ADE" w:rsidRPr="001454DF" w:rsidRDefault="00D27ADE" w:rsidP="001B5D29">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The amount of TP shall be net of reinsurance and SPV recoverables.</w:t>
            </w:r>
          </w:p>
        </w:tc>
      </w:tr>
      <w:tr w:rsidR="00D27ADE" w:rsidRPr="001454DF" w14:paraId="0EE57239" w14:textId="77777777" w:rsidTr="001454DF">
        <w:trPr>
          <w:trHeight w:val="1492"/>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8C1B59A" w14:textId="290C652F"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R0420/C0040</w:t>
            </w:r>
          </w:p>
          <w:p w14:paraId="56E73C74" w14:textId="13CC6887" w:rsidR="00E77EFE" w:rsidRPr="001454DF" w:rsidRDefault="00E77EF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w:t>
            </w:r>
            <w:r w:rsidR="009B2FC7" w:rsidRPr="001454DF">
              <w:rPr>
                <w:rFonts w:ascii="Times New Roman" w:eastAsia="Times New Roman" w:hAnsi="Times New Roman" w:cs="Times New Roman"/>
                <w:sz w:val="20"/>
                <w:szCs w:val="20"/>
                <w:lang w:val="en-GB" w:eastAsia="es-ES"/>
              </w:rPr>
              <w:t>B5</w:t>
            </w:r>
            <w:r w:rsidRPr="001454DF">
              <w:rPr>
                <w:rFonts w:ascii="Times New Roman" w:eastAsia="Times New Roman" w:hAnsi="Times New Roman" w:cs="Times New Roman"/>
                <w:sz w:val="20"/>
                <w:szCs w:val="20"/>
                <w:lang w:val="en-GB" w:eastAsia="es-ES"/>
              </w:rPr>
              <w:t>)</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00070C7B" w14:textId="5B927505"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values after shock – Assets – SLT health lapse risk –risk of decrease in lapse </w:t>
            </w:r>
          </w:p>
        </w:tc>
        <w:tc>
          <w:tcPr>
            <w:tcW w:w="5297" w:type="dxa"/>
            <w:tcBorders>
              <w:top w:val="single" w:sz="4" w:space="0" w:color="auto"/>
              <w:left w:val="nil"/>
              <w:bottom w:val="single" w:sz="4" w:space="0" w:color="auto"/>
              <w:right w:val="single" w:sz="4" w:space="0" w:color="auto"/>
            </w:tcBorders>
            <w:shd w:val="clear" w:color="000000" w:fill="FFFFFF"/>
            <w:hideMark/>
          </w:tcPr>
          <w:p w14:paraId="29767219" w14:textId="45706D99"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is the absolute value of the assets subject to the risk of a permanent decrease in lapse rates, after the shock (i.e. permanent decrease in the rates of lapse). </w:t>
            </w:r>
          </w:p>
          <w:p w14:paraId="48B976C2"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p w14:paraId="4003F164" w14:textId="05297029"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Recoverables from reinsurance and SPVs shall not be included in this cell.</w:t>
            </w:r>
          </w:p>
          <w:p w14:paraId="7250554D" w14:textId="21AA1055"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tc>
      </w:tr>
      <w:tr w:rsidR="00D27ADE" w:rsidRPr="001454DF" w14:paraId="582AD20C" w14:textId="77777777" w:rsidTr="001454DF">
        <w:trPr>
          <w:trHeight w:val="1828"/>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F6A04E4" w14:textId="29203445"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R0420/C0050</w:t>
            </w:r>
          </w:p>
          <w:p w14:paraId="72C6586D" w14:textId="705A716C" w:rsidR="009B2FC7" w:rsidRPr="001454DF" w:rsidRDefault="009B2FC7">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(B5A)</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3E3B4E53" w14:textId="408E3846"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Absolute values after shock – Liabilities (after the loss absorbing capacity of technical provisions) – SLT health lapse risk –risk of decrease in lapse</w:t>
            </w:r>
          </w:p>
        </w:tc>
        <w:tc>
          <w:tcPr>
            <w:tcW w:w="5297" w:type="dxa"/>
            <w:tcBorders>
              <w:top w:val="single" w:sz="4" w:space="0" w:color="auto"/>
              <w:left w:val="nil"/>
              <w:bottom w:val="single" w:sz="4" w:space="0" w:color="auto"/>
              <w:right w:val="single" w:sz="4" w:space="0" w:color="auto"/>
            </w:tcBorders>
            <w:shd w:val="clear" w:color="000000" w:fill="FFFFFF"/>
            <w:hideMark/>
          </w:tcPr>
          <w:p w14:paraId="0438A265" w14:textId="4B1BA7E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is the absolute value of the liabilities (after the loss absorbing capacity of technical provisions) subject to the risk of a permanent decrease in lapse rates, after the shock (i.e. permanent decrease of the rates of lapse). </w:t>
            </w:r>
          </w:p>
          <w:p w14:paraId="2F35E397"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p w14:paraId="0BBAA0CF" w14:textId="7F051591"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The amount of TP shall be net of reinsurance and SPV recoverables.</w:t>
            </w:r>
          </w:p>
          <w:p w14:paraId="11B7EDCF" w14:textId="302C3B4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tc>
      </w:tr>
      <w:tr w:rsidR="00D27ADE" w:rsidRPr="001454DF" w14:paraId="3C95C739" w14:textId="77777777" w:rsidTr="001454DF">
        <w:trPr>
          <w:trHeight w:val="1711"/>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081BC47" w14:textId="6F4E0B78"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R0420/C0060</w:t>
            </w:r>
          </w:p>
          <w:p w14:paraId="00E70D26" w14:textId="7BCB183C" w:rsidR="009B2FC7" w:rsidRPr="001454DF" w:rsidRDefault="009B2FC7">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(C5)</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3AF00C86" w14:textId="092A9F16"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Absolute value after shock – Net solvency capital requirement– SLT health lapse risk –risk of decrease in lapse</w:t>
            </w:r>
          </w:p>
        </w:tc>
        <w:tc>
          <w:tcPr>
            <w:tcW w:w="5297" w:type="dxa"/>
            <w:tcBorders>
              <w:top w:val="single" w:sz="4" w:space="0" w:color="auto"/>
              <w:left w:val="nil"/>
              <w:bottom w:val="single" w:sz="4" w:space="0" w:color="auto"/>
              <w:right w:val="single" w:sz="4" w:space="0" w:color="auto"/>
            </w:tcBorders>
            <w:shd w:val="clear" w:color="000000" w:fill="FFFFFF"/>
            <w:hideMark/>
          </w:tcPr>
          <w:p w14:paraId="261D407B" w14:textId="4325B4AE"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is the net capital charge for the risk of a permanent decrease in lapse rates, after adjustment for the loss absorbing capacity of technical provisions. </w:t>
            </w:r>
          </w:p>
          <w:p w14:paraId="4B3F7EC8"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p w14:paraId="25335021" w14:textId="510FFCED"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If R0050/C0010=1, this item represents net capital charge for a permanent decrease in SLT health rates, calculated using simplified calculation for SLT health lapse rate</w:t>
            </w:r>
          </w:p>
        </w:tc>
      </w:tr>
      <w:tr w:rsidR="00D27ADE" w:rsidRPr="001454DF" w14:paraId="46EB5579" w14:textId="77777777" w:rsidTr="001454DF">
        <w:trPr>
          <w:trHeight w:val="1604"/>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843E6D5" w14:textId="6D66E451" w:rsidR="00D27ADE" w:rsidRPr="001454DF" w:rsidRDefault="003D02D1" w:rsidP="001B5D29">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R0420</w:t>
            </w:r>
            <w:r w:rsidR="001B5D29" w:rsidRPr="001454DF">
              <w:rPr>
                <w:rFonts w:ascii="Times New Roman" w:eastAsia="Times New Roman" w:hAnsi="Times New Roman" w:cs="Times New Roman"/>
                <w:sz w:val="20"/>
                <w:szCs w:val="20"/>
                <w:lang w:val="en-GB" w:eastAsia="es-ES"/>
              </w:rPr>
              <w:t>/C0070</w:t>
            </w:r>
          </w:p>
          <w:p w14:paraId="1E83037F" w14:textId="6423F974" w:rsidR="001B5D29" w:rsidRPr="001454DF" w:rsidRDefault="001B5D29" w:rsidP="001B5D29">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(B5B)</w:t>
            </w:r>
          </w:p>
          <w:p w14:paraId="5908A940" w14:textId="249F9ECA" w:rsidR="001B5D29" w:rsidRPr="001454DF" w:rsidRDefault="001B5D29" w:rsidP="001B5D29">
            <w:pPr>
              <w:spacing w:after="0" w:line="240" w:lineRule="auto"/>
              <w:rPr>
                <w:rFonts w:ascii="Times New Roman" w:eastAsia="Times New Roman" w:hAnsi="Times New Roman" w:cs="Times New Roman"/>
                <w:sz w:val="20"/>
                <w:szCs w:val="20"/>
                <w:lang w:val="en-GB" w:eastAsia="es-ES"/>
              </w:rPr>
            </w:pP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3C51EA65" w14:textId="796AADF3"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 after shock – Liabilities (before the loss absorbing capacity of technical provisions) – </w:t>
            </w:r>
            <w:r w:rsidR="001B5D29" w:rsidRPr="001454DF">
              <w:rPr>
                <w:rFonts w:ascii="Times New Roman" w:eastAsia="Times New Roman" w:hAnsi="Times New Roman" w:cs="Times New Roman"/>
                <w:sz w:val="20"/>
                <w:szCs w:val="20"/>
                <w:lang w:val="en-GB" w:eastAsia="es-ES"/>
              </w:rPr>
              <w:t>SLT health lapse risk –risk of decrease in lapse</w:t>
            </w:r>
          </w:p>
        </w:tc>
        <w:tc>
          <w:tcPr>
            <w:tcW w:w="5297" w:type="dxa"/>
            <w:tcBorders>
              <w:top w:val="single" w:sz="4" w:space="0" w:color="auto"/>
              <w:left w:val="nil"/>
              <w:bottom w:val="single" w:sz="4" w:space="0" w:color="auto"/>
              <w:right w:val="single" w:sz="4" w:space="0" w:color="auto"/>
            </w:tcBorders>
            <w:shd w:val="clear" w:color="000000" w:fill="FFFFFF"/>
            <w:hideMark/>
          </w:tcPr>
          <w:p w14:paraId="2D99FEFB" w14:textId="77E57E7C"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the liabilities (before the loss absorbing capacity of technical provisions) subject to the risk of a permanent decrease in lapse rates, after the shock (permanent decrease in lapse rates).</w:t>
            </w:r>
          </w:p>
          <w:p w14:paraId="7F8ABF24"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p w14:paraId="07D7B84E" w14:textId="3A324C5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The amount of TP shall be net of reinsurance and SPV recoverables.</w:t>
            </w:r>
          </w:p>
          <w:p w14:paraId="79C648FF" w14:textId="310AFDF6"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tc>
      </w:tr>
      <w:tr w:rsidR="00D27ADE" w:rsidRPr="001454DF" w14:paraId="548B901A" w14:textId="77777777" w:rsidTr="001454DF">
        <w:trPr>
          <w:trHeight w:val="182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74BF5EC" w14:textId="77777777" w:rsidR="001B5D29" w:rsidRPr="001454DF" w:rsidRDefault="001B5D29">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R0420/C0080</w:t>
            </w:r>
          </w:p>
          <w:p w14:paraId="4D3AE018" w14:textId="68264070" w:rsidR="00D27ADE" w:rsidRPr="001454DF" w:rsidRDefault="001B5D29">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w:t>
            </w:r>
            <w:r w:rsidR="00D27ADE" w:rsidRPr="001454DF">
              <w:rPr>
                <w:rFonts w:ascii="Times New Roman" w:eastAsia="Times New Roman" w:hAnsi="Times New Roman" w:cs="Times New Roman"/>
                <w:sz w:val="20"/>
                <w:szCs w:val="20"/>
                <w:lang w:val="en-GB" w:eastAsia="es-ES"/>
              </w:rPr>
              <w:t>D5</w:t>
            </w:r>
            <w:r w:rsidRPr="001454DF">
              <w:rPr>
                <w:rFonts w:ascii="Times New Roman" w:eastAsia="Times New Roman" w:hAnsi="Times New Roman" w:cs="Times New Roman"/>
                <w:sz w:val="20"/>
                <w:szCs w:val="20"/>
                <w:lang w:val="en-GB" w:eastAsia="es-ES"/>
              </w:rPr>
              <w:t>)</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66B3CA17" w14:textId="04B3E95A"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 after shock – Gross solvency capital </w:t>
            </w:r>
            <w:r w:rsidR="001B5D29" w:rsidRPr="001454DF">
              <w:rPr>
                <w:rFonts w:ascii="Times New Roman" w:eastAsia="Times New Roman" w:hAnsi="Times New Roman" w:cs="Times New Roman"/>
                <w:sz w:val="20"/>
                <w:szCs w:val="20"/>
                <w:lang w:val="en-GB" w:eastAsia="es-ES"/>
              </w:rPr>
              <w:t>SLT health lapse risk – risk of decrease in lapse</w:t>
            </w:r>
            <w:r w:rsidR="001B5D29" w:rsidRPr="001454DF" w:rsidDel="00563E73">
              <w:rPr>
                <w:rFonts w:ascii="Times New Roman" w:eastAsia="Times New Roman" w:hAnsi="Times New Roman" w:cs="Times New Roman"/>
                <w:sz w:val="20"/>
                <w:szCs w:val="20"/>
                <w:lang w:val="en-GB" w:eastAsia="es-ES"/>
              </w:rPr>
              <w:t xml:space="preserve"> </w:t>
            </w:r>
            <w:r w:rsidRPr="001454DF">
              <w:rPr>
                <w:rFonts w:ascii="Times New Roman" w:eastAsia="Times New Roman" w:hAnsi="Times New Roman" w:cs="Times New Roman"/>
                <w:sz w:val="20"/>
                <w:szCs w:val="20"/>
                <w:lang w:val="en-GB" w:eastAsia="es-ES"/>
              </w:rPr>
              <w:t>- SLT health lapse risk –risk of decrease in lapse</w:t>
            </w:r>
          </w:p>
        </w:tc>
        <w:tc>
          <w:tcPr>
            <w:tcW w:w="5297" w:type="dxa"/>
            <w:tcBorders>
              <w:top w:val="single" w:sz="4" w:space="0" w:color="auto"/>
              <w:left w:val="nil"/>
              <w:bottom w:val="single" w:sz="4" w:space="0" w:color="auto"/>
              <w:right w:val="single" w:sz="4" w:space="0" w:color="auto"/>
            </w:tcBorders>
            <w:shd w:val="clear" w:color="000000" w:fill="FFFFFF"/>
            <w:hideMark/>
          </w:tcPr>
          <w:p w14:paraId="1A5CB83D" w14:textId="2627015E"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is the gross capital charge (before the loss absorbing capacity for technical provisions) for the risk of a permanent decrease in lapse rates </w:t>
            </w:r>
          </w:p>
          <w:p w14:paraId="7214B481"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p w14:paraId="40DF60A6" w14:textId="75016349"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If R0050/C0010=1, this item represents gross capital charge for a permanent decrease in SLT health rates, calculated using simplified calculation for SLT health lapse rate</w:t>
            </w:r>
            <w:r w:rsidR="00B12DDC" w:rsidRPr="001454DF">
              <w:rPr>
                <w:rFonts w:ascii="Times New Roman" w:eastAsia="Times New Roman" w:hAnsi="Times New Roman" w:cs="Times New Roman"/>
                <w:sz w:val="20"/>
                <w:szCs w:val="20"/>
                <w:lang w:val="en-GB" w:eastAsia="es-ES"/>
              </w:rPr>
              <w:t>.</w:t>
            </w:r>
          </w:p>
        </w:tc>
      </w:tr>
      <w:tr w:rsidR="00D27ADE" w:rsidRPr="001454DF" w14:paraId="7F0F9128" w14:textId="77777777" w:rsidTr="001454DF">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6443C44" w14:textId="4901A813"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R0430/C0020</w:t>
            </w:r>
          </w:p>
          <w:p w14:paraId="1BE12B28" w14:textId="6139BD72" w:rsidR="00B12DDC" w:rsidRPr="001454DF" w:rsidRDefault="00B12DDC">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(A6)</w:t>
            </w:r>
          </w:p>
        </w:tc>
        <w:tc>
          <w:tcPr>
            <w:tcW w:w="2531" w:type="dxa"/>
            <w:tcBorders>
              <w:top w:val="single" w:sz="4" w:space="0" w:color="auto"/>
              <w:left w:val="nil"/>
              <w:bottom w:val="single" w:sz="4" w:space="0" w:color="auto"/>
              <w:right w:val="single" w:sz="4" w:space="0" w:color="auto"/>
            </w:tcBorders>
            <w:shd w:val="clear" w:color="000000" w:fill="FFFFFF"/>
            <w:hideMark/>
          </w:tcPr>
          <w:p w14:paraId="28414E76"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Initial absolute values before shock – Assets – SLT health lapse risk- mass lapse risk</w:t>
            </w:r>
          </w:p>
        </w:tc>
        <w:tc>
          <w:tcPr>
            <w:tcW w:w="5297" w:type="dxa"/>
            <w:tcBorders>
              <w:top w:val="single" w:sz="4" w:space="0" w:color="auto"/>
              <w:left w:val="nil"/>
              <w:bottom w:val="single" w:sz="4" w:space="0" w:color="auto"/>
              <w:right w:val="single" w:sz="4" w:space="0" w:color="auto"/>
            </w:tcBorders>
            <w:shd w:val="clear" w:color="000000" w:fill="FFFFFF"/>
            <w:hideMark/>
          </w:tcPr>
          <w:p w14:paraId="10E5A590" w14:textId="77777777"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is the absolute value of the assets subject to mass lapse risk, before the shock. </w:t>
            </w:r>
          </w:p>
          <w:p w14:paraId="550D2E39" w14:textId="77777777"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p>
          <w:p w14:paraId="6C6BCFCB" w14:textId="75B32149"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1454DF" w14:paraId="55DDDBC7" w14:textId="77777777" w:rsidTr="001454DF">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B461628" w14:textId="7BB6E8B6"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R0430/C0030</w:t>
            </w:r>
          </w:p>
          <w:p w14:paraId="7B61D2CC" w14:textId="7CF5C6F3" w:rsidR="00B12DDC" w:rsidRPr="001454DF" w:rsidRDefault="00B12DDC">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(A6A)</w:t>
            </w:r>
          </w:p>
        </w:tc>
        <w:tc>
          <w:tcPr>
            <w:tcW w:w="2531" w:type="dxa"/>
            <w:tcBorders>
              <w:top w:val="single" w:sz="4" w:space="0" w:color="auto"/>
              <w:left w:val="nil"/>
              <w:bottom w:val="single" w:sz="4" w:space="0" w:color="auto"/>
              <w:right w:val="single" w:sz="4" w:space="0" w:color="auto"/>
            </w:tcBorders>
            <w:shd w:val="clear" w:color="000000" w:fill="FFFFFF"/>
            <w:hideMark/>
          </w:tcPr>
          <w:p w14:paraId="72E0C648"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Initial absolute values before shock – Liabilities – SLT health lapse risk –mass lapse risk </w:t>
            </w:r>
          </w:p>
        </w:tc>
        <w:tc>
          <w:tcPr>
            <w:tcW w:w="5297" w:type="dxa"/>
            <w:tcBorders>
              <w:top w:val="single" w:sz="4" w:space="0" w:color="auto"/>
              <w:left w:val="nil"/>
              <w:bottom w:val="single" w:sz="4" w:space="0" w:color="auto"/>
              <w:right w:val="single" w:sz="4" w:space="0" w:color="auto"/>
            </w:tcBorders>
            <w:shd w:val="clear" w:color="000000" w:fill="FFFFFF"/>
            <w:hideMark/>
          </w:tcPr>
          <w:p w14:paraId="37CD6596" w14:textId="330A8A0D"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is the absolute value of liabilities subject to mass lapse risk, before the shock. </w:t>
            </w:r>
          </w:p>
          <w:p w14:paraId="5DBEFF7C" w14:textId="77777777"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p>
          <w:p w14:paraId="3423A0D5" w14:textId="035C29A4"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The amount of TP shall be net of reinsurance and SPV recoverables.</w:t>
            </w:r>
          </w:p>
        </w:tc>
      </w:tr>
      <w:tr w:rsidR="00D27ADE" w:rsidRPr="001454DF" w14:paraId="7A9D5740" w14:textId="77777777" w:rsidTr="001454DF">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32725B1" w14:textId="6FB1417C"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R0430/C0040</w:t>
            </w:r>
          </w:p>
          <w:p w14:paraId="4C2EFC25" w14:textId="7A73D1D8" w:rsidR="00B12DDC" w:rsidRPr="001454DF" w:rsidRDefault="00B12DDC">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(B6)</w:t>
            </w:r>
          </w:p>
        </w:tc>
        <w:tc>
          <w:tcPr>
            <w:tcW w:w="2531" w:type="dxa"/>
            <w:tcBorders>
              <w:top w:val="single" w:sz="4" w:space="0" w:color="auto"/>
              <w:left w:val="nil"/>
              <w:bottom w:val="single" w:sz="4" w:space="0" w:color="auto"/>
              <w:right w:val="single" w:sz="4" w:space="0" w:color="auto"/>
            </w:tcBorders>
            <w:shd w:val="clear" w:color="000000" w:fill="FFFFFF"/>
            <w:hideMark/>
          </w:tcPr>
          <w:p w14:paraId="418BF8EC"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values after shock – Assets – SLT health lapse risk – mass lapse risk </w:t>
            </w:r>
          </w:p>
        </w:tc>
        <w:tc>
          <w:tcPr>
            <w:tcW w:w="5297" w:type="dxa"/>
            <w:tcBorders>
              <w:top w:val="single" w:sz="4" w:space="0" w:color="auto"/>
              <w:left w:val="nil"/>
              <w:bottom w:val="single" w:sz="4" w:space="0" w:color="auto"/>
              <w:right w:val="single" w:sz="4" w:space="0" w:color="auto"/>
            </w:tcBorders>
            <w:shd w:val="clear" w:color="000000" w:fill="FFFFFF"/>
            <w:hideMark/>
          </w:tcPr>
          <w:p w14:paraId="7410F2E4" w14:textId="77777777"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the assets subject to ass lapse risk, after the shock.</w:t>
            </w:r>
          </w:p>
          <w:p w14:paraId="4942FAF5" w14:textId="77777777"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p>
          <w:p w14:paraId="31D95BA3" w14:textId="29A252A9"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1454DF" w14:paraId="362C4ED9" w14:textId="77777777" w:rsidTr="001454DF">
        <w:trPr>
          <w:trHeight w:val="151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5DF1FA0" w14:textId="34A589B0"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R0430/C0050</w:t>
            </w:r>
          </w:p>
          <w:p w14:paraId="70CF9CDC" w14:textId="5C350B92" w:rsidR="00B12DDC" w:rsidRPr="001454DF" w:rsidRDefault="00B12DDC">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(B6A)</w:t>
            </w:r>
          </w:p>
        </w:tc>
        <w:tc>
          <w:tcPr>
            <w:tcW w:w="2531" w:type="dxa"/>
            <w:tcBorders>
              <w:top w:val="single" w:sz="4" w:space="0" w:color="auto"/>
              <w:left w:val="nil"/>
              <w:bottom w:val="single" w:sz="4" w:space="0" w:color="auto"/>
              <w:right w:val="single" w:sz="4" w:space="0" w:color="auto"/>
            </w:tcBorders>
            <w:shd w:val="clear" w:color="000000" w:fill="FFFFFF"/>
            <w:hideMark/>
          </w:tcPr>
          <w:p w14:paraId="67C18750" w14:textId="4D9FE932"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values after shock – Liabilities (after the loss absorbing capacity of technical provisions) – SLT health lapse risk – mass lapse risk </w:t>
            </w:r>
          </w:p>
        </w:tc>
        <w:tc>
          <w:tcPr>
            <w:tcW w:w="5297" w:type="dxa"/>
            <w:tcBorders>
              <w:top w:val="single" w:sz="4" w:space="0" w:color="auto"/>
              <w:left w:val="nil"/>
              <w:bottom w:val="single" w:sz="4" w:space="0" w:color="auto"/>
              <w:right w:val="single" w:sz="4" w:space="0" w:color="auto"/>
            </w:tcBorders>
            <w:shd w:val="clear" w:color="000000" w:fill="FFFFFF"/>
            <w:hideMark/>
          </w:tcPr>
          <w:p w14:paraId="01B63A25" w14:textId="0AC20F37"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is the absolute value of liabilities (after the loss absorbing capacity of technical provisions) subject to mass lapse risk, after the shock. </w:t>
            </w:r>
          </w:p>
          <w:p w14:paraId="46E14E72" w14:textId="77777777"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p>
          <w:p w14:paraId="0670F324" w14:textId="4C8B3D50"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The amount of TP shall be net of reinsurance and SPV recoverables.</w:t>
            </w:r>
          </w:p>
        </w:tc>
      </w:tr>
      <w:tr w:rsidR="00D27ADE" w:rsidRPr="001454DF" w14:paraId="24F47F33" w14:textId="77777777" w:rsidTr="001454DF">
        <w:trPr>
          <w:trHeight w:val="1129"/>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20180CA" w14:textId="75837316"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R0430/C0060</w:t>
            </w:r>
          </w:p>
          <w:p w14:paraId="1A422C29" w14:textId="3F93F90B" w:rsidR="00B12DDC" w:rsidRPr="001454DF" w:rsidRDefault="00B12DDC">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(C6)</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77A4D857" w14:textId="4EE315E4"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 after shock – Net solvency capital requirements– SLT health lapse risk – mass lapse risk </w:t>
            </w:r>
          </w:p>
        </w:tc>
        <w:tc>
          <w:tcPr>
            <w:tcW w:w="5297" w:type="dxa"/>
            <w:tcBorders>
              <w:top w:val="single" w:sz="4" w:space="0" w:color="auto"/>
              <w:left w:val="nil"/>
              <w:bottom w:val="single" w:sz="4" w:space="0" w:color="auto"/>
              <w:right w:val="single" w:sz="4" w:space="0" w:color="auto"/>
            </w:tcBorders>
            <w:shd w:val="clear" w:color="000000" w:fill="FFFFFF"/>
            <w:hideMark/>
          </w:tcPr>
          <w:p w14:paraId="0A0C6B55" w14:textId="78CBB241"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is the net capital charge for SLT health lapse risk - mass lapse risk, after adjustment for the loss absorbing capacity of technical provisions. </w:t>
            </w:r>
          </w:p>
          <w:p w14:paraId="197E5ABF" w14:textId="39824D11"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p>
          <w:p w14:paraId="104AE9B5" w14:textId="47E3D098"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p>
        </w:tc>
      </w:tr>
      <w:tr w:rsidR="00D27ADE" w:rsidRPr="001454DF" w14:paraId="1A938460" w14:textId="77777777" w:rsidTr="001454DF">
        <w:trPr>
          <w:trHeight w:val="285"/>
        </w:trPr>
        <w:tc>
          <w:tcPr>
            <w:tcW w:w="1630" w:type="dxa"/>
            <w:vMerge w:val="restart"/>
            <w:tcBorders>
              <w:top w:val="single" w:sz="4" w:space="0" w:color="auto"/>
              <w:left w:val="single" w:sz="4" w:space="0" w:color="auto"/>
              <w:bottom w:val="single" w:sz="4" w:space="0" w:color="auto"/>
              <w:right w:val="single" w:sz="4" w:space="0" w:color="auto"/>
            </w:tcBorders>
            <w:shd w:val="clear" w:color="000000" w:fill="FFFFFF"/>
          </w:tcPr>
          <w:p w14:paraId="273D83C0" w14:textId="158E0484"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R0430/C0070</w:t>
            </w:r>
          </w:p>
          <w:p w14:paraId="1C3BCF9D" w14:textId="1BEABB86" w:rsidR="00B12DDC" w:rsidRPr="001454DF" w:rsidRDefault="00B12DDC">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(B6B)</w:t>
            </w:r>
          </w:p>
        </w:tc>
        <w:tc>
          <w:tcPr>
            <w:tcW w:w="2531"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3D98712F" w14:textId="04500B02"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 after shock – Liabilities (before the loss absorbing capacity of technical provisions) – Health lapse risk – mass lapse risk </w:t>
            </w:r>
          </w:p>
        </w:tc>
        <w:tc>
          <w:tcPr>
            <w:tcW w:w="5297"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14BC0500" w14:textId="77777777"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the liabilities (before the loss absorbing capacity of technical provisions) subject to mass lapse risk, after the shock.</w:t>
            </w:r>
          </w:p>
          <w:p w14:paraId="0C1889CD" w14:textId="77777777"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p>
          <w:p w14:paraId="1C3AE5ED" w14:textId="246B24D0"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The amount of TP shall be net of reinsurance and SPV recoverables.</w:t>
            </w:r>
          </w:p>
        </w:tc>
      </w:tr>
      <w:tr w:rsidR="00D27ADE" w:rsidRPr="001454DF" w14:paraId="60B7F19B" w14:textId="77777777" w:rsidTr="001454DF">
        <w:trPr>
          <w:trHeight w:val="600"/>
        </w:trPr>
        <w:tc>
          <w:tcPr>
            <w:tcW w:w="1630" w:type="dxa"/>
            <w:vMerge/>
            <w:tcBorders>
              <w:top w:val="single" w:sz="4" w:space="0" w:color="auto"/>
              <w:left w:val="single" w:sz="4" w:space="0" w:color="auto"/>
              <w:bottom w:val="single" w:sz="4" w:space="0" w:color="auto"/>
              <w:right w:val="single" w:sz="4" w:space="0" w:color="auto"/>
            </w:tcBorders>
            <w:vAlign w:val="center"/>
          </w:tcPr>
          <w:p w14:paraId="284A1119"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tc>
        <w:tc>
          <w:tcPr>
            <w:tcW w:w="2531" w:type="dxa"/>
            <w:vMerge/>
            <w:tcBorders>
              <w:top w:val="single" w:sz="4" w:space="0" w:color="auto"/>
              <w:left w:val="single" w:sz="4" w:space="0" w:color="auto"/>
              <w:bottom w:val="single" w:sz="4" w:space="0" w:color="auto"/>
              <w:right w:val="single" w:sz="4" w:space="0" w:color="auto"/>
            </w:tcBorders>
            <w:vAlign w:val="center"/>
            <w:hideMark/>
          </w:tcPr>
          <w:p w14:paraId="3C7EA4BA"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tc>
        <w:tc>
          <w:tcPr>
            <w:tcW w:w="5297" w:type="dxa"/>
            <w:vMerge/>
            <w:tcBorders>
              <w:top w:val="single" w:sz="4" w:space="0" w:color="auto"/>
              <w:left w:val="single" w:sz="4" w:space="0" w:color="auto"/>
              <w:bottom w:val="single" w:sz="4" w:space="0" w:color="auto"/>
              <w:right w:val="single" w:sz="4" w:space="0" w:color="auto"/>
            </w:tcBorders>
            <w:vAlign w:val="center"/>
            <w:hideMark/>
          </w:tcPr>
          <w:p w14:paraId="618259B2" w14:textId="77777777"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p>
        </w:tc>
      </w:tr>
      <w:tr w:rsidR="00D27ADE" w:rsidRPr="001454DF" w14:paraId="30190B30" w14:textId="77777777" w:rsidTr="001454DF">
        <w:trPr>
          <w:trHeight w:val="115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7EA8881" w14:textId="0AA5F802"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R0430/C0080</w:t>
            </w:r>
          </w:p>
          <w:p w14:paraId="2184B8F0" w14:textId="3E37173B" w:rsidR="00B12DDC" w:rsidRPr="001454DF" w:rsidRDefault="00B12DDC">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(D6)</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7BB797DD" w14:textId="4CF59369"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 after shock – Gross solvency capital - SLT health lapse risk – mass lapse risk </w:t>
            </w:r>
          </w:p>
        </w:tc>
        <w:tc>
          <w:tcPr>
            <w:tcW w:w="5297" w:type="dxa"/>
            <w:tcBorders>
              <w:top w:val="single" w:sz="4" w:space="0" w:color="auto"/>
              <w:left w:val="nil"/>
              <w:bottom w:val="single" w:sz="4" w:space="0" w:color="auto"/>
              <w:right w:val="single" w:sz="4" w:space="0" w:color="auto"/>
            </w:tcBorders>
            <w:shd w:val="clear" w:color="000000" w:fill="FFFFFF"/>
            <w:hideMark/>
          </w:tcPr>
          <w:p w14:paraId="2B0EB57C" w14:textId="1AEA5722"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gross capital charge (excluding the loss absorbing capacity for technical provisions)   for SLT health lapse risk - mass lapse risk.</w:t>
            </w:r>
          </w:p>
          <w:p w14:paraId="530CE0CD" w14:textId="5BD39D01"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p>
        </w:tc>
      </w:tr>
      <w:tr w:rsidR="00D27ADE" w:rsidRPr="001454DF" w14:paraId="247B297E" w14:textId="77777777" w:rsidTr="001454DF">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55DF50B" w14:textId="53D16214"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R0500/C0020</w:t>
            </w:r>
          </w:p>
          <w:p w14:paraId="528C589B" w14:textId="308EAED8" w:rsidR="00B12DDC" w:rsidRPr="001454DF" w:rsidRDefault="00B12DDC">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(A7)</w:t>
            </w:r>
          </w:p>
        </w:tc>
        <w:tc>
          <w:tcPr>
            <w:tcW w:w="2531" w:type="dxa"/>
            <w:tcBorders>
              <w:top w:val="single" w:sz="4" w:space="0" w:color="auto"/>
              <w:left w:val="nil"/>
              <w:bottom w:val="single" w:sz="4" w:space="0" w:color="auto"/>
              <w:right w:val="single" w:sz="4" w:space="0" w:color="auto"/>
            </w:tcBorders>
            <w:shd w:val="clear" w:color="000000" w:fill="FFFFFF"/>
            <w:hideMark/>
          </w:tcPr>
          <w:p w14:paraId="6D3013F0" w14:textId="22AC8324"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Initial absolute values before shock – Assets – Health expense risk </w:t>
            </w:r>
          </w:p>
        </w:tc>
        <w:tc>
          <w:tcPr>
            <w:tcW w:w="5297" w:type="dxa"/>
            <w:tcBorders>
              <w:top w:val="single" w:sz="4" w:space="0" w:color="auto"/>
              <w:left w:val="nil"/>
              <w:bottom w:val="single" w:sz="4" w:space="0" w:color="auto"/>
              <w:right w:val="single" w:sz="4" w:space="0" w:color="auto"/>
            </w:tcBorders>
            <w:shd w:val="clear" w:color="000000" w:fill="FFFFFF"/>
            <w:hideMark/>
          </w:tcPr>
          <w:p w14:paraId="5349E613"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is the absolute value of the assets subject to expense risk, before the shock. </w:t>
            </w:r>
          </w:p>
          <w:p w14:paraId="550C4815"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p w14:paraId="6879D206" w14:textId="53363E05"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1454DF" w14:paraId="529F539B" w14:textId="77777777" w:rsidTr="001454DF">
        <w:trPr>
          <w:trHeight w:val="855"/>
        </w:trPr>
        <w:tc>
          <w:tcPr>
            <w:tcW w:w="1630" w:type="dxa"/>
            <w:tcBorders>
              <w:top w:val="nil"/>
              <w:left w:val="single" w:sz="4" w:space="0" w:color="auto"/>
              <w:bottom w:val="single" w:sz="4" w:space="0" w:color="auto"/>
              <w:right w:val="single" w:sz="4" w:space="0" w:color="auto"/>
            </w:tcBorders>
            <w:shd w:val="clear" w:color="000000" w:fill="FFFFFF"/>
          </w:tcPr>
          <w:p w14:paraId="2D4DB62C" w14:textId="773760AC"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R0500/C0030</w:t>
            </w:r>
          </w:p>
          <w:p w14:paraId="13BAEADD" w14:textId="140B08C8" w:rsidR="00B12DDC" w:rsidRPr="001454DF" w:rsidRDefault="00B12DDC">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(A7A)</w:t>
            </w:r>
          </w:p>
        </w:tc>
        <w:tc>
          <w:tcPr>
            <w:tcW w:w="2531" w:type="dxa"/>
            <w:tcBorders>
              <w:top w:val="nil"/>
              <w:left w:val="nil"/>
              <w:bottom w:val="single" w:sz="4" w:space="0" w:color="auto"/>
              <w:right w:val="single" w:sz="4" w:space="0" w:color="auto"/>
            </w:tcBorders>
            <w:shd w:val="clear" w:color="000000" w:fill="FFFFFF"/>
            <w:hideMark/>
          </w:tcPr>
          <w:p w14:paraId="04D0D6C3"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Initial absolute values before shock – Liabilities –  Health expense  risk   </w:t>
            </w:r>
          </w:p>
        </w:tc>
        <w:tc>
          <w:tcPr>
            <w:tcW w:w="5297" w:type="dxa"/>
            <w:tcBorders>
              <w:top w:val="nil"/>
              <w:left w:val="nil"/>
              <w:bottom w:val="single" w:sz="4" w:space="0" w:color="auto"/>
              <w:right w:val="single" w:sz="4" w:space="0" w:color="auto"/>
            </w:tcBorders>
            <w:shd w:val="clear" w:color="000000" w:fill="FFFFFF"/>
            <w:hideMark/>
          </w:tcPr>
          <w:p w14:paraId="3D7000E7"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is the absolute value of liabilities subject to expense risk, before the shock. </w:t>
            </w:r>
          </w:p>
          <w:p w14:paraId="0CDF6062"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p w14:paraId="5ACBAC56" w14:textId="7081477F"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The amount of TP shall be net of reinsurance and SPV recoverables.</w:t>
            </w:r>
          </w:p>
        </w:tc>
      </w:tr>
      <w:tr w:rsidR="00D27ADE" w:rsidRPr="001454DF" w14:paraId="325E41EC" w14:textId="77777777" w:rsidTr="001454DF">
        <w:trPr>
          <w:trHeight w:val="765"/>
        </w:trPr>
        <w:tc>
          <w:tcPr>
            <w:tcW w:w="1630" w:type="dxa"/>
            <w:tcBorders>
              <w:top w:val="nil"/>
              <w:left w:val="single" w:sz="4" w:space="0" w:color="auto"/>
              <w:bottom w:val="single" w:sz="4" w:space="0" w:color="auto"/>
              <w:right w:val="single" w:sz="4" w:space="0" w:color="auto"/>
            </w:tcBorders>
            <w:shd w:val="clear" w:color="000000" w:fill="FFFFFF"/>
          </w:tcPr>
          <w:p w14:paraId="31D3E1C7" w14:textId="54C22DB4"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R0500/C0040</w:t>
            </w:r>
          </w:p>
          <w:p w14:paraId="6FB7A8C9" w14:textId="360F8303" w:rsidR="00B12DDC" w:rsidRPr="001454DF" w:rsidRDefault="00B12DDC">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(B7)</w:t>
            </w:r>
          </w:p>
        </w:tc>
        <w:tc>
          <w:tcPr>
            <w:tcW w:w="2531" w:type="dxa"/>
            <w:tcBorders>
              <w:top w:val="nil"/>
              <w:left w:val="nil"/>
              <w:bottom w:val="single" w:sz="4" w:space="0" w:color="auto"/>
              <w:right w:val="single" w:sz="4" w:space="0" w:color="auto"/>
            </w:tcBorders>
            <w:shd w:val="clear" w:color="000000" w:fill="FFFFFF"/>
            <w:hideMark/>
          </w:tcPr>
          <w:p w14:paraId="73D32C77" w14:textId="386046FB"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values after shock – Assets – Health expense  risk  </w:t>
            </w:r>
          </w:p>
        </w:tc>
        <w:tc>
          <w:tcPr>
            <w:tcW w:w="5297" w:type="dxa"/>
            <w:tcBorders>
              <w:top w:val="nil"/>
              <w:left w:val="nil"/>
              <w:bottom w:val="nil"/>
              <w:right w:val="single" w:sz="4" w:space="0" w:color="auto"/>
            </w:tcBorders>
            <w:shd w:val="clear" w:color="000000" w:fill="FFFFFF"/>
            <w:hideMark/>
          </w:tcPr>
          <w:p w14:paraId="62F63156"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the assets subject to health expense risk, after the shock.</w:t>
            </w:r>
          </w:p>
          <w:p w14:paraId="4DB40DFA"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p w14:paraId="075DBE68" w14:textId="0F8909BD"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1454DF" w14:paraId="684ACA32" w14:textId="77777777" w:rsidTr="001454DF">
        <w:trPr>
          <w:trHeight w:val="1260"/>
        </w:trPr>
        <w:tc>
          <w:tcPr>
            <w:tcW w:w="1630" w:type="dxa"/>
            <w:tcBorders>
              <w:top w:val="nil"/>
              <w:left w:val="single" w:sz="4" w:space="0" w:color="auto"/>
              <w:bottom w:val="single" w:sz="4" w:space="0" w:color="auto"/>
              <w:right w:val="single" w:sz="4" w:space="0" w:color="auto"/>
            </w:tcBorders>
            <w:shd w:val="clear" w:color="000000" w:fill="FFFFFF"/>
          </w:tcPr>
          <w:p w14:paraId="7E7D9F1E" w14:textId="0935812B"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R0500/C0050</w:t>
            </w:r>
          </w:p>
          <w:p w14:paraId="204693CD" w14:textId="36BE2E7A" w:rsidR="00B12DDC" w:rsidRPr="001454DF" w:rsidRDefault="00B12DDC">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(B7A)</w:t>
            </w:r>
          </w:p>
        </w:tc>
        <w:tc>
          <w:tcPr>
            <w:tcW w:w="2531" w:type="dxa"/>
            <w:tcBorders>
              <w:top w:val="nil"/>
              <w:left w:val="nil"/>
              <w:bottom w:val="single" w:sz="4" w:space="0" w:color="auto"/>
              <w:right w:val="single" w:sz="4" w:space="0" w:color="auto"/>
            </w:tcBorders>
            <w:shd w:val="clear" w:color="000000" w:fill="FFFFFF"/>
            <w:hideMark/>
          </w:tcPr>
          <w:p w14:paraId="4EA0D1E6" w14:textId="64A90923"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values after shock – Liabilities (after the loss absorbing capacity of technical provisions) – Health expense  risk </w:t>
            </w:r>
          </w:p>
        </w:tc>
        <w:tc>
          <w:tcPr>
            <w:tcW w:w="5297" w:type="dxa"/>
            <w:tcBorders>
              <w:top w:val="single" w:sz="4" w:space="0" w:color="auto"/>
              <w:left w:val="nil"/>
              <w:bottom w:val="single" w:sz="4" w:space="0" w:color="auto"/>
              <w:right w:val="single" w:sz="4" w:space="0" w:color="auto"/>
            </w:tcBorders>
            <w:shd w:val="clear" w:color="000000" w:fill="FFFFFF"/>
            <w:hideMark/>
          </w:tcPr>
          <w:p w14:paraId="2AA0C04F" w14:textId="3095893A"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liabilities (after the loss absorbing capacity of technical provisions) subject to health expense risk, after the shock.</w:t>
            </w:r>
          </w:p>
          <w:p w14:paraId="013086D4"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p w14:paraId="0AA147C3" w14:textId="3DB12AB0"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The amount of TP shall be net of reinsurance and SPV recoverables.</w:t>
            </w:r>
          </w:p>
        </w:tc>
      </w:tr>
      <w:tr w:rsidR="00D27ADE" w:rsidRPr="001454DF" w14:paraId="5D7C6E10" w14:textId="77777777" w:rsidTr="001454DF">
        <w:trPr>
          <w:trHeight w:val="1634"/>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071C32A" w14:textId="64D628CB"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R0500/C0</w:t>
            </w:r>
            <w:r w:rsidR="00B12DDC" w:rsidRPr="001454DF">
              <w:rPr>
                <w:rFonts w:ascii="Times New Roman" w:eastAsia="Times New Roman" w:hAnsi="Times New Roman" w:cs="Times New Roman"/>
                <w:sz w:val="20"/>
                <w:szCs w:val="20"/>
                <w:lang w:val="en-GB" w:eastAsia="es-ES"/>
              </w:rPr>
              <w:t>0</w:t>
            </w:r>
            <w:r w:rsidRPr="001454DF">
              <w:rPr>
                <w:rFonts w:ascii="Times New Roman" w:eastAsia="Times New Roman" w:hAnsi="Times New Roman" w:cs="Times New Roman"/>
                <w:sz w:val="20"/>
                <w:szCs w:val="20"/>
                <w:lang w:val="en-GB" w:eastAsia="es-ES"/>
              </w:rPr>
              <w:t>60</w:t>
            </w:r>
          </w:p>
          <w:p w14:paraId="494839B9" w14:textId="19D143AF" w:rsidR="00B12DDC" w:rsidRPr="001454DF" w:rsidRDefault="00B12DDC">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w:t>
            </w:r>
            <w:r w:rsidR="0062732B" w:rsidRPr="001454DF">
              <w:rPr>
                <w:rFonts w:ascii="Times New Roman" w:eastAsia="Times New Roman" w:hAnsi="Times New Roman" w:cs="Times New Roman"/>
                <w:sz w:val="20"/>
                <w:szCs w:val="20"/>
                <w:lang w:val="en-GB" w:eastAsia="es-ES"/>
              </w:rPr>
              <w:t>C7</w:t>
            </w:r>
            <w:r w:rsidRPr="001454DF">
              <w:rPr>
                <w:rFonts w:ascii="Times New Roman" w:eastAsia="Times New Roman" w:hAnsi="Times New Roman" w:cs="Times New Roman"/>
                <w:sz w:val="20"/>
                <w:szCs w:val="20"/>
                <w:lang w:val="en-GB" w:eastAsia="es-ES"/>
              </w:rPr>
              <w:t>)</w:t>
            </w:r>
          </w:p>
          <w:p w14:paraId="61BC0B47" w14:textId="77777777" w:rsidR="00B12DDC" w:rsidRPr="001454DF" w:rsidRDefault="00B12DDC">
            <w:pPr>
              <w:spacing w:after="0" w:line="240" w:lineRule="auto"/>
              <w:rPr>
                <w:rFonts w:ascii="Times New Roman" w:eastAsia="Times New Roman" w:hAnsi="Times New Roman" w:cs="Times New Roman"/>
                <w:sz w:val="20"/>
                <w:szCs w:val="20"/>
                <w:lang w:val="en-GB" w:eastAsia="es-ES"/>
              </w:rPr>
            </w:pP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06098FD1" w14:textId="4EFAF91E"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 after shock – Net solvency capital requirements–  Health expense  risk </w:t>
            </w:r>
          </w:p>
        </w:tc>
        <w:tc>
          <w:tcPr>
            <w:tcW w:w="5297" w:type="dxa"/>
            <w:tcBorders>
              <w:top w:val="single" w:sz="4" w:space="0" w:color="auto"/>
              <w:left w:val="single" w:sz="4" w:space="0" w:color="auto"/>
              <w:bottom w:val="single" w:sz="4" w:space="0" w:color="auto"/>
              <w:right w:val="single" w:sz="4" w:space="0" w:color="auto"/>
            </w:tcBorders>
            <w:shd w:val="clear" w:color="000000" w:fill="FFFFFF"/>
            <w:hideMark/>
          </w:tcPr>
          <w:p w14:paraId="37DF036B" w14:textId="77777777"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is the net capital charge for health expense risk, after adjustment for the loss absorbing capacity of technical provisions. </w:t>
            </w:r>
          </w:p>
          <w:p w14:paraId="0192E615" w14:textId="1A0C1EF1"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p>
          <w:p w14:paraId="66AB878F" w14:textId="383292C7"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If R0060/C0010=1, this item represents net capital charge for health expense risk calculated using simplified calculations.</w:t>
            </w:r>
            <w:r w:rsidRPr="001454DF">
              <w:rPr>
                <w:rFonts w:ascii="Times New Roman" w:eastAsia="Times New Roman" w:hAnsi="Times New Roman" w:cs="Times New Roman"/>
                <w:strike/>
                <w:sz w:val="20"/>
                <w:szCs w:val="20"/>
                <w:lang w:val="en-GB" w:eastAsia="es-ES"/>
              </w:rPr>
              <w:t xml:space="preserve"> </w:t>
            </w:r>
          </w:p>
        </w:tc>
      </w:tr>
      <w:tr w:rsidR="00D27ADE" w:rsidRPr="001454DF" w14:paraId="4CAE7632" w14:textId="77777777" w:rsidTr="001454DF">
        <w:trPr>
          <w:trHeight w:val="69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8588AB7" w14:textId="3287C8CD"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R0500/C0070</w:t>
            </w:r>
          </w:p>
          <w:p w14:paraId="2F48B35B" w14:textId="744E5CEB" w:rsidR="0062732B" w:rsidRPr="001454DF" w:rsidRDefault="0062732B">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(B7B)</w:t>
            </w:r>
          </w:p>
        </w:tc>
        <w:tc>
          <w:tcPr>
            <w:tcW w:w="2531" w:type="dxa"/>
            <w:tcBorders>
              <w:top w:val="single" w:sz="4" w:space="0" w:color="auto"/>
              <w:left w:val="nil"/>
              <w:bottom w:val="single" w:sz="4" w:space="0" w:color="auto"/>
              <w:right w:val="single" w:sz="4" w:space="0" w:color="auto"/>
            </w:tcBorders>
            <w:shd w:val="clear" w:color="000000" w:fill="FFFFFF"/>
            <w:hideMark/>
          </w:tcPr>
          <w:p w14:paraId="131565EE" w14:textId="1E2F2C3A"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 after shock – Liabilities (before the loss absorbing capacity of technical provisions) – Health expense risk </w:t>
            </w:r>
          </w:p>
        </w:tc>
        <w:tc>
          <w:tcPr>
            <w:tcW w:w="5297" w:type="dxa"/>
            <w:tcBorders>
              <w:top w:val="single" w:sz="4" w:space="0" w:color="auto"/>
              <w:left w:val="nil"/>
              <w:bottom w:val="single" w:sz="4" w:space="0" w:color="auto"/>
              <w:right w:val="single" w:sz="4" w:space="0" w:color="auto"/>
            </w:tcBorders>
            <w:shd w:val="clear" w:color="000000" w:fill="FFFFFF"/>
            <w:hideMark/>
          </w:tcPr>
          <w:p w14:paraId="50BF7A34" w14:textId="77777777"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the liabilities (before the loss absorbing capacity of technical provisions) subject to expense risk charge, after the shock.</w:t>
            </w:r>
          </w:p>
          <w:p w14:paraId="4CF8C3A1" w14:textId="77777777"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p>
          <w:p w14:paraId="36F413F5" w14:textId="7E75D37F"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The amount of TP shall be net of reinsurance and SPV recoverables.</w:t>
            </w:r>
          </w:p>
        </w:tc>
      </w:tr>
      <w:tr w:rsidR="00D27ADE" w:rsidRPr="001454DF" w14:paraId="79CEB864" w14:textId="77777777" w:rsidTr="001454DF">
        <w:trPr>
          <w:trHeight w:val="1413"/>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5A789D4" w14:textId="7CF0A23D"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R0500/C0080</w:t>
            </w:r>
          </w:p>
          <w:p w14:paraId="41AF6E5C" w14:textId="30056B90" w:rsidR="0062732B" w:rsidRPr="001454DF" w:rsidRDefault="0062732B">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(D7)</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02298BEE" w14:textId="3F4BA86D"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 after shock – Gross solvency capital - Health expense risk  </w:t>
            </w:r>
          </w:p>
        </w:tc>
        <w:tc>
          <w:tcPr>
            <w:tcW w:w="5297" w:type="dxa"/>
            <w:tcBorders>
              <w:top w:val="single" w:sz="4" w:space="0" w:color="auto"/>
              <w:left w:val="nil"/>
              <w:bottom w:val="single" w:sz="4" w:space="0" w:color="auto"/>
              <w:right w:val="single" w:sz="4" w:space="0" w:color="auto"/>
            </w:tcBorders>
            <w:shd w:val="clear" w:color="000000" w:fill="FFFFFF"/>
            <w:hideMark/>
          </w:tcPr>
          <w:p w14:paraId="0EE9D380" w14:textId="77777777"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gross capital charge (excluding the loss absorbing capacity of technical provisions) for health expense risk.</w:t>
            </w:r>
          </w:p>
          <w:p w14:paraId="3B638528" w14:textId="54892EBE"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p>
          <w:p w14:paraId="576FDF19" w14:textId="7FC6030F"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If R0060/C0010=1, this item represents gross capital charge for health expense risk calculated using simplified calculations.</w:t>
            </w:r>
            <w:r w:rsidRPr="001454DF">
              <w:rPr>
                <w:rFonts w:ascii="Times New Roman" w:eastAsia="Times New Roman" w:hAnsi="Times New Roman" w:cs="Times New Roman"/>
                <w:strike/>
                <w:sz w:val="20"/>
                <w:szCs w:val="20"/>
                <w:lang w:val="en-GB" w:eastAsia="es-ES"/>
              </w:rPr>
              <w:t xml:space="preserve"> </w:t>
            </w:r>
          </w:p>
        </w:tc>
      </w:tr>
      <w:tr w:rsidR="00D27ADE" w:rsidRPr="001454DF" w14:paraId="19742C91" w14:textId="77777777" w:rsidTr="001454DF">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ADF6FAC" w14:textId="716305BA"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R0600/C0020</w:t>
            </w:r>
          </w:p>
          <w:p w14:paraId="5812005B" w14:textId="48CC103F" w:rsidR="0062732B" w:rsidRPr="001454DF" w:rsidRDefault="0062732B">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(A8)</w:t>
            </w:r>
          </w:p>
        </w:tc>
        <w:tc>
          <w:tcPr>
            <w:tcW w:w="2531" w:type="dxa"/>
            <w:tcBorders>
              <w:top w:val="single" w:sz="4" w:space="0" w:color="auto"/>
              <w:left w:val="nil"/>
              <w:bottom w:val="single" w:sz="4" w:space="0" w:color="auto"/>
              <w:right w:val="single" w:sz="4" w:space="0" w:color="auto"/>
            </w:tcBorders>
            <w:shd w:val="clear" w:color="000000" w:fill="FFFFFF"/>
            <w:hideMark/>
          </w:tcPr>
          <w:p w14:paraId="45A48F54" w14:textId="7EDFA801"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Initial absolute values before shock – Assets – Health revision risk </w:t>
            </w:r>
          </w:p>
        </w:tc>
        <w:tc>
          <w:tcPr>
            <w:tcW w:w="5297" w:type="dxa"/>
            <w:tcBorders>
              <w:top w:val="single" w:sz="4" w:space="0" w:color="auto"/>
              <w:left w:val="nil"/>
              <w:bottom w:val="single" w:sz="4" w:space="0" w:color="auto"/>
              <w:right w:val="single" w:sz="4" w:space="0" w:color="auto"/>
            </w:tcBorders>
            <w:shd w:val="clear" w:color="000000" w:fill="FFFFFF"/>
            <w:hideMark/>
          </w:tcPr>
          <w:p w14:paraId="174749F1" w14:textId="77777777"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the assets subject to health revision risk, before the shock.</w:t>
            </w:r>
          </w:p>
          <w:p w14:paraId="18FDC41B" w14:textId="77777777"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p>
          <w:p w14:paraId="551B7569" w14:textId="5A59080A"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Recoverables from reinsurance and SPVs shall not be included in this cell. </w:t>
            </w:r>
          </w:p>
        </w:tc>
      </w:tr>
      <w:tr w:rsidR="00D27ADE" w:rsidRPr="001454DF" w14:paraId="331D1336" w14:textId="77777777" w:rsidTr="001454DF">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2BBC27E" w14:textId="74842133"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R0600/C0030</w:t>
            </w:r>
          </w:p>
          <w:p w14:paraId="7EF4C8EA" w14:textId="28781A3B" w:rsidR="0062732B" w:rsidRPr="001454DF" w:rsidRDefault="0062732B">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(A8A)</w:t>
            </w:r>
          </w:p>
        </w:tc>
        <w:tc>
          <w:tcPr>
            <w:tcW w:w="2531" w:type="dxa"/>
            <w:tcBorders>
              <w:top w:val="single" w:sz="4" w:space="0" w:color="auto"/>
              <w:left w:val="nil"/>
              <w:bottom w:val="single" w:sz="4" w:space="0" w:color="auto"/>
              <w:right w:val="single" w:sz="4" w:space="0" w:color="auto"/>
            </w:tcBorders>
            <w:shd w:val="clear" w:color="000000" w:fill="FFFFFF"/>
            <w:hideMark/>
          </w:tcPr>
          <w:p w14:paraId="0FCCC0B5" w14:textId="0BFA979E"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Initial absolute values before shock – Liabilities –Health revision risk  </w:t>
            </w:r>
          </w:p>
        </w:tc>
        <w:tc>
          <w:tcPr>
            <w:tcW w:w="5297" w:type="dxa"/>
            <w:tcBorders>
              <w:top w:val="single" w:sz="4" w:space="0" w:color="auto"/>
              <w:left w:val="nil"/>
              <w:bottom w:val="single" w:sz="4" w:space="0" w:color="auto"/>
              <w:right w:val="single" w:sz="4" w:space="0" w:color="auto"/>
            </w:tcBorders>
            <w:shd w:val="clear" w:color="000000" w:fill="FFFFFF"/>
            <w:hideMark/>
          </w:tcPr>
          <w:p w14:paraId="093FB171" w14:textId="77777777"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is the absolute value of liabilities subject to health revision risk charge, before the shock. </w:t>
            </w:r>
          </w:p>
          <w:p w14:paraId="6B86EABB" w14:textId="77777777"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p>
          <w:p w14:paraId="3D09916F" w14:textId="31E7E7FE"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The amount of TP shall be net of reinsurance and SPV recoverables.</w:t>
            </w:r>
          </w:p>
        </w:tc>
      </w:tr>
      <w:tr w:rsidR="00D27ADE" w:rsidRPr="001454DF" w14:paraId="57304017" w14:textId="77777777" w:rsidTr="001454DF">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DC50B1D" w14:textId="7167C075"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R0600/C0040</w:t>
            </w:r>
          </w:p>
          <w:p w14:paraId="3D2E0E03" w14:textId="1B4828E9" w:rsidR="0062732B" w:rsidRPr="001454DF" w:rsidRDefault="0062732B">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(B8)</w:t>
            </w:r>
          </w:p>
        </w:tc>
        <w:tc>
          <w:tcPr>
            <w:tcW w:w="2531" w:type="dxa"/>
            <w:tcBorders>
              <w:top w:val="single" w:sz="4" w:space="0" w:color="auto"/>
              <w:left w:val="nil"/>
              <w:bottom w:val="single" w:sz="4" w:space="0" w:color="auto"/>
              <w:right w:val="single" w:sz="4" w:space="0" w:color="auto"/>
            </w:tcBorders>
            <w:shd w:val="clear" w:color="000000" w:fill="FFFFFF"/>
            <w:hideMark/>
          </w:tcPr>
          <w:p w14:paraId="2ADC50DF"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values after shock – Assets – Health revision risk </w:t>
            </w:r>
          </w:p>
        </w:tc>
        <w:tc>
          <w:tcPr>
            <w:tcW w:w="5297" w:type="dxa"/>
            <w:tcBorders>
              <w:top w:val="single" w:sz="4" w:space="0" w:color="auto"/>
              <w:left w:val="nil"/>
              <w:bottom w:val="single" w:sz="4" w:space="0" w:color="auto"/>
              <w:right w:val="single" w:sz="4" w:space="0" w:color="auto"/>
            </w:tcBorders>
            <w:shd w:val="clear" w:color="000000" w:fill="FFFFFF"/>
            <w:hideMark/>
          </w:tcPr>
          <w:p w14:paraId="2496455F" w14:textId="344F30E1"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the assets subject to health revision risk, after the shock.</w:t>
            </w:r>
          </w:p>
          <w:p w14:paraId="1AB8CC32" w14:textId="77777777"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p>
          <w:p w14:paraId="6117554C" w14:textId="3E7E5582"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1454DF" w14:paraId="2400173C" w14:textId="77777777" w:rsidTr="001454DF">
        <w:trPr>
          <w:trHeight w:val="285"/>
        </w:trPr>
        <w:tc>
          <w:tcPr>
            <w:tcW w:w="1630" w:type="dxa"/>
            <w:vMerge w:val="restart"/>
            <w:tcBorders>
              <w:top w:val="single" w:sz="4" w:space="0" w:color="auto"/>
              <w:left w:val="single" w:sz="4" w:space="0" w:color="auto"/>
              <w:bottom w:val="single" w:sz="4" w:space="0" w:color="auto"/>
              <w:right w:val="single" w:sz="4" w:space="0" w:color="auto"/>
            </w:tcBorders>
            <w:shd w:val="clear" w:color="000000" w:fill="FFFFFF"/>
          </w:tcPr>
          <w:p w14:paraId="6AAF14D5" w14:textId="3D589AA1"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R0600/C0050</w:t>
            </w:r>
          </w:p>
          <w:p w14:paraId="67895709" w14:textId="13B159E9" w:rsidR="0062732B" w:rsidRPr="001454DF" w:rsidRDefault="0062732B">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(B8A)</w:t>
            </w:r>
          </w:p>
        </w:tc>
        <w:tc>
          <w:tcPr>
            <w:tcW w:w="2531"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1ADCEC02" w14:textId="0B30D88D"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Absolute values after shock – Liabilities (after the loss absorbing capacity of technical provisions) – Health revision risk</w:t>
            </w:r>
          </w:p>
        </w:tc>
        <w:tc>
          <w:tcPr>
            <w:tcW w:w="5297"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28BBD005" w14:textId="194CC3CA"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liabilities (after the loss absorbing capacity of technical provisions) subject to health revision risk, after the shock.</w:t>
            </w:r>
          </w:p>
          <w:p w14:paraId="44942914" w14:textId="77777777"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p>
          <w:p w14:paraId="2856C63F" w14:textId="02F8BF62"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The amount of TP shall be net of reinsurance and SPV recoverables.</w:t>
            </w:r>
          </w:p>
        </w:tc>
      </w:tr>
      <w:tr w:rsidR="00D27ADE" w:rsidRPr="001454DF" w14:paraId="6CBD669B" w14:textId="77777777" w:rsidTr="001454DF">
        <w:trPr>
          <w:trHeight w:val="285"/>
        </w:trPr>
        <w:tc>
          <w:tcPr>
            <w:tcW w:w="1630" w:type="dxa"/>
            <w:vMerge/>
            <w:tcBorders>
              <w:top w:val="single" w:sz="4" w:space="0" w:color="auto"/>
              <w:left w:val="single" w:sz="4" w:space="0" w:color="auto"/>
              <w:bottom w:val="single" w:sz="4" w:space="0" w:color="auto"/>
              <w:right w:val="single" w:sz="4" w:space="0" w:color="auto"/>
            </w:tcBorders>
            <w:vAlign w:val="center"/>
          </w:tcPr>
          <w:p w14:paraId="3288230D" w14:textId="48281400"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tc>
        <w:tc>
          <w:tcPr>
            <w:tcW w:w="2531" w:type="dxa"/>
            <w:vMerge/>
            <w:tcBorders>
              <w:top w:val="single" w:sz="4" w:space="0" w:color="auto"/>
              <w:left w:val="single" w:sz="4" w:space="0" w:color="auto"/>
              <w:bottom w:val="single" w:sz="4" w:space="0" w:color="auto"/>
              <w:right w:val="single" w:sz="4" w:space="0" w:color="auto"/>
            </w:tcBorders>
            <w:vAlign w:val="center"/>
            <w:hideMark/>
          </w:tcPr>
          <w:p w14:paraId="2BB583CA"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tc>
        <w:tc>
          <w:tcPr>
            <w:tcW w:w="5297" w:type="dxa"/>
            <w:vMerge/>
            <w:tcBorders>
              <w:top w:val="single" w:sz="4" w:space="0" w:color="auto"/>
              <w:left w:val="single" w:sz="4" w:space="0" w:color="auto"/>
              <w:bottom w:val="single" w:sz="4" w:space="0" w:color="auto"/>
              <w:right w:val="single" w:sz="4" w:space="0" w:color="auto"/>
            </w:tcBorders>
            <w:vAlign w:val="center"/>
            <w:hideMark/>
          </w:tcPr>
          <w:p w14:paraId="6D8D9C98" w14:textId="77777777"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p>
        </w:tc>
      </w:tr>
      <w:tr w:rsidR="00D27ADE" w:rsidRPr="001454DF" w14:paraId="64C68BA9" w14:textId="77777777" w:rsidTr="001454DF">
        <w:trPr>
          <w:trHeight w:val="750"/>
        </w:trPr>
        <w:tc>
          <w:tcPr>
            <w:tcW w:w="1630" w:type="dxa"/>
            <w:vMerge/>
            <w:tcBorders>
              <w:top w:val="single" w:sz="4" w:space="0" w:color="auto"/>
              <w:left w:val="single" w:sz="4" w:space="0" w:color="auto"/>
              <w:bottom w:val="single" w:sz="4" w:space="0" w:color="auto"/>
              <w:right w:val="single" w:sz="4" w:space="0" w:color="auto"/>
            </w:tcBorders>
            <w:vAlign w:val="center"/>
          </w:tcPr>
          <w:p w14:paraId="39163E06"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tc>
        <w:tc>
          <w:tcPr>
            <w:tcW w:w="2531" w:type="dxa"/>
            <w:vMerge/>
            <w:tcBorders>
              <w:top w:val="single" w:sz="4" w:space="0" w:color="auto"/>
              <w:left w:val="single" w:sz="4" w:space="0" w:color="auto"/>
              <w:bottom w:val="single" w:sz="4" w:space="0" w:color="auto"/>
              <w:right w:val="single" w:sz="4" w:space="0" w:color="auto"/>
            </w:tcBorders>
            <w:vAlign w:val="center"/>
            <w:hideMark/>
          </w:tcPr>
          <w:p w14:paraId="25562D72"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tc>
        <w:tc>
          <w:tcPr>
            <w:tcW w:w="5297" w:type="dxa"/>
            <w:vMerge/>
            <w:tcBorders>
              <w:top w:val="single" w:sz="4" w:space="0" w:color="auto"/>
              <w:left w:val="single" w:sz="4" w:space="0" w:color="auto"/>
              <w:bottom w:val="single" w:sz="4" w:space="0" w:color="auto"/>
              <w:right w:val="single" w:sz="4" w:space="0" w:color="auto"/>
            </w:tcBorders>
            <w:vAlign w:val="center"/>
            <w:hideMark/>
          </w:tcPr>
          <w:p w14:paraId="761A29E7" w14:textId="77777777"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p>
        </w:tc>
      </w:tr>
      <w:tr w:rsidR="00D27ADE" w:rsidRPr="001454DF" w14:paraId="3CA6EEBA" w14:textId="77777777" w:rsidTr="001454DF">
        <w:trPr>
          <w:trHeight w:val="109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5D7BBE1" w14:textId="6120B93B"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R0600/C0060</w:t>
            </w:r>
          </w:p>
          <w:p w14:paraId="514D2436" w14:textId="25D09642" w:rsidR="0062732B" w:rsidRPr="001454DF" w:rsidRDefault="0062732B">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(C8)</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17730C47" w14:textId="43A464E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 after shock </w:t>
            </w:r>
            <w:r w:rsidRPr="001454DF">
              <w:rPr>
                <w:rFonts w:ascii="Times New Roman" w:eastAsia="Times New Roman" w:hAnsi="Times New Roman" w:cs="Times New Roman"/>
                <w:strike/>
                <w:sz w:val="20"/>
                <w:szCs w:val="20"/>
                <w:lang w:val="en-GB" w:eastAsia="es-ES"/>
              </w:rPr>
              <w:t>–</w:t>
            </w:r>
            <w:r w:rsidRPr="001454DF">
              <w:rPr>
                <w:rFonts w:ascii="Times New Roman" w:eastAsia="Times New Roman" w:hAnsi="Times New Roman" w:cs="Times New Roman"/>
                <w:sz w:val="20"/>
                <w:szCs w:val="20"/>
                <w:lang w:val="en-GB" w:eastAsia="es-ES"/>
              </w:rPr>
              <w:t xml:space="preserve"> Net solvency capital requirements– Health revision risk</w:t>
            </w:r>
          </w:p>
        </w:tc>
        <w:tc>
          <w:tcPr>
            <w:tcW w:w="5297" w:type="dxa"/>
            <w:tcBorders>
              <w:top w:val="single" w:sz="4" w:space="0" w:color="auto"/>
              <w:left w:val="nil"/>
              <w:bottom w:val="single" w:sz="4" w:space="0" w:color="auto"/>
              <w:right w:val="single" w:sz="4" w:space="0" w:color="auto"/>
            </w:tcBorders>
            <w:shd w:val="clear" w:color="000000" w:fill="FFFFFF"/>
            <w:hideMark/>
          </w:tcPr>
          <w:p w14:paraId="33AABF68" w14:textId="77777777"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is the net capital charge for health revision risk, after adjustment for the loss absorbing capacity of technical provisions. </w:t>
            </w:r>
          </w:p>
          <w:p w14:paraId="31B9B6CF" w14:textId="71B46A3A"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p>
        </w:tc>
      </w:tr>
      <w:tr w:rsidR="00D27ADE" w:rsidRPr="001454DF" w14:paraId="544F8B2A" w14:textId="77777777" w:rsidTr="001454DF">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11138EBA" w14:textId="3955D41C"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R0600/C0070</w:t>
            </w:r>
          </w:p>
          <w:p w14:paraId="0C6E2638" w14:textId="4BB421AA" w:rsidR="0062732B" w:rsidRPr="001454DF" w:rsidRDefault="0062732B">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(B8B)</w:t>
            </w:r>
          </w:p>
        </w:tc>
        <w:tc>
          <w:tcPr>
            <w:tcW w:w="2531" w:type="dxa"/>
            <w:tcBorders>
              <w:top w:val="single" w:sz="4" w:space="0" w:color="auto"/>
              <w:left w:val="nil"/>
              <w:bottom w:val="single" w:sz="4" w:space="0" w:color="auto"/>
              <w:right w:val="single" w:sz="4" w:space="0" w:color="auto"/>
            </w:tcBorders>
            <w:shd w:val="clear" w:color="000000" w:fill="FFFFFF"/>
            <w:hideMark/>
          </w:tcPr>
          <w:p w14:paraId="78BCFA32" w14:textId="2CB6FAF5"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Absolute value after shock – Liabilities (before the loss absorbing capacity of technical provisions) – Health revision risk</w:t>
            </w:r>
          </w:p>
        </w:tc>
        <w:tc>
          <w:tcPr>
            <w:tcW w:w="5297" w:type="dxa"/>
            <w:tcBorders>
              <w:top w:val="single" w:sz="4" w:space="0" w:color="auto"/>
              <w:left w:val="nil"/>
              <w:bottom w:val="single" w:sz="4" w:space="0" w:color="auto"/>
              <w:right w:val="single" w:sz="4" w:space="0" w:color="auto"/>
            </w:tcBorders>
            <w:shd w:val="clear" w:color="000000" w:fill="FFFFFF"/>
            <w:hideMark/>
          </w:tcPr>
          <w:p w14:paraId="1BD2C149" w14:textId="02C6591B"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the liabilities (before the loss absorbing capacity of technical provisions) subject to health revision risk charge, after the shock (i.e. as prescribed by standard formula, a % increase in the annual amount payable for annuities exposed to revision risk).</w:t>
            </w:r>
          </w:p>
          <w:p w14:paraId="7F4DC737" w14:textId="77777777"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p>
          <w:p w14:paraId="04D757CA" w14:textId="65E07493"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The amount of TP shall be net of reinsurance and SPV recoverables.</w:t>
            </w:r>
          </w:p>
        </w:tc>
      </w:tr>
      <w:tr w:rsidR="00D27ADE" w:rsidRPr="001454DF" w14:paraId="53135C54" w14:textId="77777777" w:rsidTr="001454DF">
        <w:trPr>
          <w:trHeight w:val="83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499B2B3" w14:textId="71F7DAAE"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R0600/C0080</w:t>
            </w:r>
          </w:p>
          <w:p w14:paraId="56FEA760" w14:textId="39D57245" w:rsidR="0062732B" w:rsidRPr="001454DF" w:rsidRDefault="0062732B">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(D8)</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0267F282" w14:textId="4C8D4676"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 after shock – Gross solvency capital - Health revision risk </w:t>
            </w:r>
          </w:p>
        </w:tc>
        <w:tc>
          <w:tcPr>
            <w:tcW w:w="5297" w:type="dxa"/>
            <w:tcBorders>
              <w:top w:val="single" w:sz="4" w:space="0" w:color="auto"/>
              <w:left w:val="nil"/>
              <w:bottom w:val="single" w:sz="4" w:space="0" w:color="auto"/>
              <w:right w:val="single" w:sz="4" w:space="0" w:color="auto"/>
            </w:tcBorders>
            <w:shd w:val="clear" w:color="000000" w:fill="FFFFFF"/>
            <w:hideMark/>
          </w:tcPr>
          <w:p w14:paraId="68CF1687" w14:textId="62D50371"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gross capital charge (before the loss absorbing capacity of technical provisions) for health revision risk.</w:t>
            </w:r>
          </w:p>
          <w:p w14:paraId="6BA026D0" w14:textId="20F1F971"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p w14:paraId="1DAEB99C" w14:textId="799FB4AA"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tc>
      </w:tr>
      <w:tr w:rsidR="00D27ADE" w:rsidRPr="001454DF" w14:paraId="0AC65A3D" w14:textId="77777777" w:rsidTr="001454DF">
        <w:trPr>
          <w:trHeight w:val="1899"/>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5821477" w14:textId="5D731A41"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R0700/C0060</w:t>
            </w:r>
          </w:p>
          <w:p w14:paraId="56C4D3D6" w14:textId="7B682775" w:rsidR="00135738" w:rsidRPr="001454DF" w:rsidRDefault="00135738">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(C9)</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57FFA191" w14:textId="23C31DD6"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Diversification within SLT health underwriting risk module - Net</w:t>
            </w:r>
          </w:p>
        </w:tc>
        <w:tc>
          <w:tcPr>
            <w:tcW w:w="5297" w:type="dxa"/>
            <w:tcBorders>
              <w:top w:val="single" w:sz="4" w:space="0" w:color="auto"/>
              <w:left w:val="nil"/>
              <w:bottom w:val="single" w:sz="4" w:space="0" w:color="auto"/>
              <w:right w:val="single" w:sz="4" w:space="0" w:color="auto"/>
            </w:tcBorders>
            <w:shd w:val="clear" w:color="000000" w:fill="FFFFFF"/>
            <w:hideMark/>
          </w:tcPr>
          <w:p w14:paraId="04E615F1"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diversification effect within the SLT health underwriting risk module as a result of the aggregation of the net capital requirements (after adjustment for the loss absorbing capacity of technical provisions) of the single risk sub-modules.</w:t>
            </w:r>
          </w:p>
          <w:p w14:paraId="09E45F00"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p w14:paraId="1E108252" w14:textId="3F4A6E58" w:rsidR="00135738" w:rsidRPr="001454DF" w:rsidRDefault="00135738" w:rsidP="00135738">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Diversification shall be reported as a negative value</w:t>
            </w:r>
            <w:r w:rsidR="00E11A54" w:rsidRPr="001454DF">
              <w:rPr>
                <w:rFonts w:ascii="Times New Roman" w:eastAsia="Times New Roman" w:hAnsi="Times New Roman" w:cs="Times New Roman"/>
                <w:sz w:val="20"/>
                <w:szCs w:val="20"/>
                <w:lang w:val="en-GB" w:eastAsia="es-ES"/>
              </w:rPr>
              <w:t xml:space="preserve"> if they reduce the capital requirement</w:t>
            </w:r>
            <w:r w:rsidRPr="001454DF">
              <w:rPr>
                <w:rFonts w:ascii="Times New Roman" w:eastAsia="Times New Roman" w:hAnsi="Times New Roman" w:cs="Times New Roman"/>
                <w:sz w:val="20"/>
                <w:szCs w:val="20"/>
                <w:lang w:val="en-GB" w:eastAsia="es-ES"/>
              </w:rPr>
              <w:t>.</w:t>
            </w:r>
          </w:p>
          <w:p w14:paraId="0EBD2F25" w14:textId="015BFBF4"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tc>
      </w:tr>
      <w:tr w:rsidR="00D27ADE" w:rsidRPr="001454DF" w14:paraId="138033EF" w14:textId="77777777" w:rsidTr="001454DF">
        <w:trPr>
          <w:trHeight w:val="1889"/>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06C23D6" w14:textId="07827B03"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R0700/C0080</w:t>
            </w:r>
          </w:p>
          <w:p w14:paraId="72D433B2" w14:textId="0C34C9E4" w:rsidR="00135738" w:rsidRPr="001454DF" w:rsidRDefault="00135738">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(D9)</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51D01E83"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Diversification within SLT health underwriting risk module - Gross</w:t>
            </w:r>
          </w:p>
        </w:tc>
        <w:tc>
          <w:tcPr>
            <w:tcW w:w="5297" w:type="dxa"/>
            <w:tcBorders>
              <w:top w:val="single" w:sz="4" w:space="0" w:color="auto"/>
              <w:left w:val="nil"/>
              <w:bottom w:val="single" w:sz="4" w:space="0" w:color="auto"/>
              <w:right w:val="single" w:sz="4" w:space="0" w:color="auto"/>
            </w:tcBorders>
            <w:shd w:val="clear" w:color="000000" w:fill="FFFFFF"/>
            <w:hideMark/>
          </w:tcPr>
          <w:p w14:paraId="382F6254" w14:textId="6033DFD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is the diversification effect within the SLT </w:t>
            </w:r>
            <w:proofErr w:type="spellStart"/>
            <w:r w:rsidRPr="001454DF">
              <w:rPr>
                <w:rFonts w:ascii="Times New Roman" w:eastAsia="Times New Roman" w:hAnsi="Times New Roman" w:cs="Times New Roman"/>
                <w:sz w:val="20"/>
                <w:szCs w:val="20"/>
                <w:lang w:val="en-GB" w:eastAsia="es-ES"/>
              </w:rPr>
              <w:t>healthunderwriting</w:t>
            </w:r>
            <w:proofErr w:type="spellEnd"/>
            <w:r w:rsidRPr="001454DF">
              <w:rPr>
                <w:rFonts w:ascii="Times New Roman" w:eastAsia="Times New Roman" w:hAnsi="Times New Roman" w:cs="Times New Roman"/>
                <w:sz w:val="20"/>
                <w:szCs w:val="20"/>
                <w:lang w:val="en-GB" w:eastAsia="es-ES"/>
              </w:rPr>
              <w:t xml:space="preserve"> risk module as a result of the aggregation of the gross capital requirements (before adjustment for the loss absorbing capacity of technical provisions) of the single risk sub-modules.</w:t>
            </w:r>
          </w:p>
          <w:p w14:paraId="0CDC0916"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p w14:paraId="74DC3884" w14:textId="67AA2A94" w:rsidR="00135738" w:rsidRPr="001454DF" w:rsidRDefault="00135738" w:rsidP="00135738">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Diversification shall be reported as a negative </w:t>
            </w:r>
            <w:proofErr w:type="spellStart"/>
            <w:r w:rsidRPr="001454DF">
              <w:rPr>
                <w:rFonts w:ascii="Times New Roman" w:eastAsia="Times New Roman" w:hAnsi="Times New Roman" w:cs="Times New Roman"/>
                <w:sz w:val="20"/>
                <w:szCs w:val="20"/>
                <w:lang w:val="en-GB" w:eastAsia="es-ES"/>
              </w:rPr>
              <w:t>value</w:t>
            </w:r>
            <w:r w:rsidR="00A80520" w:rsidRPr="001454DF">
              <w:rPr>
                <w:rFonts w:ascii="Times New Roman" w:eastAsia="Times New Roman" w:hAnsi="Times New Roman" w:cs="Times New Roman"/>
                <w:sz w:val="20"/>
                <w:szCs w:val="20"/>
                <w:lang w:val="en-GB" w:eastAsia="es-ES"/>
              </w:rPr>
              <w:t>if</w:t>
            </w:r>
            <w:proofErr w:type="spellEnd"/>
            <w:r w:rsidR="00A80520" w:rsidRPr="001454DF">
              <w:rPr>
                <w:rFonts w:ascii="Times New Roman" w:eastAsia="Times New Roman" w:hAnsi="Times New Roman" w:cs="Times New Roman"/>
                <w:sz w:val="20"/>
                <w:szCs w:val="20"/>
                <w:lang w:val="en-GB" w:eastAsia="es-ES"/>
              </w:rPr>
              <w:t xml:space="preserve"> they reduce the capital requirement</w:t>
            </w:r>
            <w:r w:rsidRPr="001454DF">
              <w:rPr>
                <w:rFonts w:ascii="Times New Roman" w:eastAsia="Times New Roman" w:hAnsi="Times New Roman" w:cs="Times New Roman"/>
                <w:sz w:val="20"/>
                <w:szCs w:val="20"/>
                <w:lang w:val="en-GB" w:eastAsia="es-ES"/>
              </w:rPr>
              <w:t>.</w:t>
            </w:r>
          </w:p>
          <w:p w14:paraId="1075D52F" w14:textId="6275E26F"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tc>
      </w:tr>
      <w:tr w:rsidR="00D27ADE" w:rsidRPr="001454DF" w14:paraId="50628D34" w14:textId="77777777" w:rsidTr="001454DF">
        <w:trPr>
          <w:trHeight w:val="141"/>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133E2321" w14:textId="4DF7C89F"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R0800/C0060</w:t>
            </w:r>
          </w:p>
          <w:p w14:paraId="3348B6E6" w14:textId="27E28731" w:rsidR="00135738" w:rsidRPr="001454DF" w:rsidRDefault="00135738">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(C10)</w:t>
            </w:r>
          </w:p>
        </w:tc>
        <w:tc>
          <w:tcPr>
            <w:tcW w:w="2531" w:type="dxa"/>
            <w:tcBorders>
              <w:top w:val="single" w:sz="4" w:space="0" w:color="auto"/>
              <w:left w:val="nil"/>
              <w:bottom w:val="single" w:sz="4" w:space="0" w:color="auto"/>
              <w:right w:val="single" w:sz="4" w:space="0" w:color="auto"/>
            </w:tcBorders>
            <w:shd w:val="clear" w:color="000000" w:fill="FFFFFF"/>
            <w:hideMark/>
          </w:tcPr>
          <w:p w14:paraId="079D6BF3" w14:textId="7FE97C7D"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Net solvency capital requirements - SLT health underwriting risk</w:t>
            </w:r>
          </w:p>
        </w:tc>
        <w:tc>
          <w:tcPr>
            <w:tcW w:w="5297" w:type="dxa"/>
            <w:tcBorders>
              <w:top w:val="single" w:sz="4" w:space="0" w:color="auto"/>
              <w:left w:val="nil"/>
              <w:bottom w:val="single" w:sz="4" w:space="0" w:color="auto"/>
              <w:right w:val="single" w:sz="4" w:space="0" w:color="auto"/>
            </w:tcBorders>
            <w:shd w:val="clear" w:color="000000" w:fill="FFFFFF"/>
            <w:hideMark/>
          </w:tcPr>
          <w:p w14:paraId="3D430D50"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total net capital charge for SLT health underwriting risk, after adjustment of the loss absorbing capacity of technical provisions.</w:t>
            </w:r>
          </w:p>
        </w:tc>
      </w:tr>
      <w:tr w:rsidR="00D27ADE" w:rsidRPr="001454DF" w14:paraId="25C31073" w14:textId="77777777" w:rsidTr="001454DF">
        <w:trPr>
          <w:trHeight w:val="854"/>
        </w:trPr>
        <w:tc>
          <w:tcPr>
            <w:tcW w:w="1630" w:type="dxa"/>
            <w:tcBorders>
              <w:top w:val="nil"/>
              <w:left w:val="single" w:sz="4" w:space="0" w:color="auto"/>
              <w:bottom w:val="single" w:sz="4" w:space="0" w:color="auto"/>
              <w:right w:val="single" w:sz="4" w:space="0" w:color="auto"/>
            </w:tcBorders>
            <w:shd w:val="clear" w:color="000000" w:fill="FFFFFF"/>
          </w:tcPr>
          <w:p w14:paraId="219F85DA" w14:textId="7F5137EF"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R0800/C0080</w:t>
            </w:r>
          </w:p>
          <w:p w14:paraId="61303BE3" w14:textId="1E0BBF64" w:rsidR="00135738" w:rsidRPr="001454DF" w:rsidRDefault="00135738">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(D10)</w:t>
            </w:r>
          </w:p>
        </w:tc>
        <w:tc>
          <w:tcPr>
            <w:tcW w:w="2531" w:type="dxa"/>
            <w:tcBorders>
              <w:top w:val="nil"/>
              <w:left w:val="nil"/>
              <w:bottom w:val="single" w:sz="4" w:space="0" w:color="auto"/>
              <w:right w:val="single" w:sz="4" w:space="0" w:color="auto"/>
            </w:tcBorders>
            <w:shd w:val="clear" w:color="000000" w:fill="FFFFFF"/>
            <w:hideMark/>
          </w:tcPr>
          <w:p w14:paraId="127651E1" w14:textId="093CFF75"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Gross solvency capital - SLT health underwriting risk</w:t>
            </w:r>
          </w:p>
        </w:tc>
        <w:tc>
          <w:tcPr>
            <w:tcW w:w="5297" w:type="dxa"/>
            <w:tcBorders>
              <w:top w:val="nil"/>
              <w:left w:val="nil"/>
              <w:bottom w:val="single" w:sz="4" w:space="0" w:color="auto"/>
              <w:right w:val="single" w:sz="4" w:space="0" w:color="auto"/>
            </w:tcBorders>
            <w:shd w:val="clear" w:color="000000" w:fill="FFFFFF"/>
            <w:hideMark/>
          </w:tcPr>
          <w:p w14:paraId="602FD31E"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is the total gross capital charge for SLT health underwriting risk, before adjustment of the loss absorbing capacity of technical provisions. </w:t>
            </w:r>
          </w:p>
        </w:tc>
      </w:tr>
      <w:tr w:rsidR="00D27ADE" w:rsidRPr="001454DF" w14:paraId="3DA7BE49" w14:textId="77777777" w:rsidTr="001454DF">
        <w:trPr>
          <w:trHeight w:val="285"/>
        </w:trPr>
        <w:tc>
          <w:tcPr>
            <w:tcW w:w="9458" w:type="dxa"/>
            <w:gridSpan w:val="3"/>
            <w:tcBorders>
              <w:top w:val="nil"/>
              <w:left w:val="nil"/>
              <w:bottom w:val="nil"/>
              <w:right w:val="nil"/>
            </w:tcBorders>
            <w:shd w:val="clear" w:color="000000" w:fill="FFFFFF"/>
          </w:tcPr>
          <w:p w14:paraId="3F284E13" w14:textId="77777777" w:rsidR="00D27ADE" w:rsidRPr="001454DF" w:rsidRDefault="00D27ADE" w:rsidP="001454DF">
            <w:pPr>
              <w:spacing w:after="0" w:line="240" w:lineRule="auto"/>
              <w:ind w:left="239"/>
              <w:rPr>
                <w:rFonts w:ascii="Times New Roman" w:eastAsia="Times New Roman" w:hAnsi="Times New Roman" w:cs="Times New Roman"/>
                <w:b/>
                <w:bCs/>
                <w:sz w:val="20"/>
                <w:szCs w:val="20"/>
                <w:lang w:val="en-GB" w:eastAsia="es-ES"/>
              </w:rPr>
            </w:pPr>
          </w:p>
          <w:p w14:paraId="6F08BF82" w14:textId="173B22E8" w:rsidR="00D27ADE" w:rsidRPr="001454DF" w:rsidRDefault="00D27ADE" w:rsidP="001454DF">
            <w:pPr>
              <w:spacing w:after="0" w:line="240" w:lineRule="auto"/>
              <w:ind w:left="239"/>
              <w:rPr>
                <w:rFonts w:ascii="Times New Roman" w:eastAsia="Times New Roman" w:hAnsi="Times New Roman" w:cs="Times New Roman"/>
                <w:b/>
                <w:bCs/>
                <w:sz w:val="20"/>
                <w:szCs w:val="20"/>
                <w:lang w:val="en-GB" w:eastAsia="es-ES"/>
              </w:rPr>
            </w:pPr>
            <w:r w:rsidRPr="001454DF">
              <w:rPr>
                <w:rFonts w:ascii="Times New Roman" w:eastAsia="Times New Roman" w:hAnsi="Times New Roman" w:cs="Times New Roman"/>
                <w:b/>
                <w:bCs/>
                <w:sz w:val="20"/>
                <w:szCs w:val="20"/>
                <w:lang w:val="en-GB" w:eastAsia="es-ES"/>
              </w:rPr>
              <w:t>Further details on revision risk</w:t>
            </w:r>
          </w:p>
        </w:tc>
      </w:tr>
      <w:tr w:rsidR="00D27ADE" w:rsidRPr="001454DF" w14:paraId="071EA815" w14:textId="77777777" w:rsidTr="001454DF">
        <w:trPr>
          <w:trHeight w:val="855"/>
        </w:trPr>
        <w:tc>
          <w:tcPr>
            <w:tcW w:w="1630" w:type="dxa"/>
            <w:vMerge w:val="restart"/>
            <w:tcBorders>
              <w:top w:val="single" w:sz="4" w:space="0" w:color="auto"/>
              <w:left w:val="single" w:sz="4" w:space="0" w:color="auto"/>
              <w:bottom w:val="single" w:sz="4" w:space="0" w:color="auto"/>
              <w:right w:val="single" w:sz="4" w:space="0" w:color="auto"/>
            </w:tcBorders>
            <w:shd w:val="clear" w:color="000000" w:fill="FFFFFF"/>
          </w:tcPr>
          <w:p w14:paraId="52C2E697" w14:textId="7AB864A1"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R0900/C0090</w:t>
            </w:r>
          </w:p>
          <w:p w14:paraId="7C5DCFEC" w14:textId="1A14FFEE" w:rsidR="00135738" w:rsidRPr="001454DF" w:rsidRDefault="00135738">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(A11)</w:t>
            </w:r>
          </w:p>
        </w:tc>
        <w:tc>
          <w:tcPr>
            <w:tcW w:w="2531"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35FE7E81"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Revision shock USP</w:t>
            </w:r>
          </w:p>
        </w:tc>
        <w:tc>
          <w:tcPr>
            <w:tcW w:w="5297" w:type="dxa"/>
            <w:tcBorders>
              <w:top w:val="single" w:sz="4" w:space="0" w:color="auto"/>
              <w:left w:val="nil"/>
              <w:bottom w:val="nil"/>
              <w:right w:val="single" w:sz="4" w:space="0" w:color="auto"/>
            </w:tcBorders>
            <w:shd w:val="clear" w:color="000000" w:fill="FFFFFF"/>
            <w:hideMark/>
          </w:tcPr>
          <w:p w14:paraId="62434197" w14:textId="0AAF3EAF" w:rsidR="00135738"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Revision shock – </w:t>
            </w:r>
            <w:r w:rsidR="00AE403B" w:rsidRPr="001454DF">
              <w:rPr>
                <w:rFonts w:ascii="Times New Roman" w:eastAsia="Times New Roman" w:hAnsi="Times New Roman" w:cs="Times New Roman"/>
                <w:sz w:val="20"/>
                <w:szCs w:val="20"/>
                <w:lang w:val="en-GB" w:eastAsia="es-ES"/>
              </w:rPr>
              <w:t xml:space="preserve">group </w:t>
            </w:r>
            <w:r w:rsidRPr="001454DF">
              <w:rPr>
                <w:rFonts w:ascii="Times New Roman" w:eastAsia="Times New Roman" w:hAnsi="Times New Roman" w:cs="Times New Roman"/>
                <w:sz w:val="20"/>
                <w:szCs w:val="20"/>
                <w:lang w:val="en-GB" w:eastAsia="es-ES"/>
              </w:rPr>
              <w:t xml:space="preserve">specific parameter as calculated by the </w:t>
            </w:r>
            <w:r w:rsidR="00AE403B" w:rsidRPr="001454DF">
              <w:rPr>
                <w:rFonts w:ascii="Times New Roman" w:eastAsia="Times New Roman" w:hAnsi="Times New Roman" w:cs="Times New Roman"/>
                <w:sz w:val="20"/>
                <w:szCs w:val="20"/>
                <w:lang w:val="en-GB" w:eastAsia="es-ES"/>
              </w:rPr>
              <w:t>group</w:t>
            </w:r>
            <w:r w:rsidRPr="001454DF">
              <w:rPr>
                <w:rFonts w:ascii="Times New Roman" w:eastAsia="Times New Roman" w:hAnsi="Times New Roman" w:cs="Times New Roman"/>
                <w:sz w:val="20"/>
                <w:szCs w:val="20"/>
                <w:lang w:val="en-GB" w:eastAsia="es-ES"/>
              </w:rPr>
              <w:t xml:space="preserve"> and approved by the supervisory authority.</w:t>
            </w:r>
            <w:r w:rsidR="00135738" w:rsidRPr="001454DF">
              <w:rPr>
                <w:rFonts w:ascii="Times New Roman" w:eastAsia="Times New Roman" w:hAnsi="Times New Roman" w:cs="Times New Roman"/>
                <w:sz w:val="20"/>
                <w:szCs w:val="20"/>
                <w:lang w:val="en-GB" w:eastAsia="es-ES"/>
              </w:rPr>
              <w:t xml:space="preserve"> </w:t>
            </w:r>
          </w:p>
          <w:p w14:paraId="0C390811" w14:textId="77777777" w:rsidR="00135738" w:rsidRPr="001454DF" w:rsidRDefault="00135738" w:rsidP="001454DF">
            <w:pPr>
              <w:spacing w:after="0" w:line="240" w:lineRule="auto"/>
              <w:ind w:left="22"/>
              <w:rPr>
                <w:rFonts w:ascii="Times New Roman" w:eastAsia="Times New Roman" w:hAnsi="Times New Roman" w:cs="Times New Roman"/>
                <w:sz w:val="20"/>
                <w:szCs w:val="20"/>
                <w:lang w:val="en-GB" w:eastAsia="es-ES"/>
              </w:rPr>
            </w:pPr>
          </w:p>
          <w:p w14:paraId="7F47F8BF" w14:textId="3617B0F5" w:rsidR="00D27ADE" w:rsidRPr="001454DF" w:rsidRDefault="00135738"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item is not reported where no </w:t>
            </w:r>
            <w:r w:rsidR="00AE403B" w:rsidRPr="001454DF">
              <w:rPr>
                <w:rFonts w:ascii="Times New Roman" w:eastAsia="Times New Roman" w:hAnsi="Times New Roman" w:cs="Times New Roman"/>
                <w:sz w:val="20"/>
                <w:szCs w:val="20"/>
                <w:lang w:val="en-GB" w:eastAsia="es-ES"/>
              </w:rPr>
              <w:t>group</w:t>
            </w:r>
            <w:r w:rsidRPr="001454DF">
              <w:rPr>
                <w:rFonts w:ascii="Times New Roman" w:eastAsia="Times New Roman" w:hAnsi="Times New Roman" w:cs="Times New Roman"/>
                <w:sz w:val="20"/>
                <w:szCs w:val="20"/>
                <w:lang w:val="en-GB" w:eastAsia="es-ES"/>
              </w:rPr>
              <w:t xml:space="preserve"> specific parameter is used.</w:t>
            </w:r>
          </w:p>
        </w:tc>
      </w:tr>
      <w:tr w:rsidR="00D27ADE" w:rsidRPr="001454DF" w14:paraId="5697CC98" w14:textId="77777777" w:rsidTr="001454DF">
        <w:trPr>
          <w:trHeight w:val="50"/>
        </w:trPr>
        <w:tc>
          <w:tcPr>
            <w:tcW w:w="1630" w:type="dxa"/>
            <w:vMerge/>
            <w:tcBorders>
              <w:top w:val="single" w:sz="4" w:space="0" w:color="auto"/>
              <w:left w:val="single" w:sz="4" w:space="0" w:color="auto"/>
              <w:bottom w:val="single" w:sz="4" w:space="0" w:color="auto"/>
              <w:right w:val="single" w:sz="4" w:space="0" w:color="auto"/>
            </w:tcBorders>
            <w:vAlign w:val="center"/>
          </w:tcPr>
          <w:p w14:paraId="3E22E84C"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tc>
        <w:tc>
          <w:tcPr>
            <w:tcW w:w="2531" w:type="dxa"/>
            <w:vMerge/>
            <w:tcBorders>
              <w:top w:val="single" w:sz="4" w:space="0" w:color="auto"/>
              <w:left w:val="single" w:sz="4" w:space="0" w:color="auto"/>
              <w:bottom w:val="single" w:sz="4" w:space="0" w:color="auto"/>
              <w:right w:val="single" w:sz="4" w:space="0" w:color="auto"/>
            </w:tcBorders>
            <w:vAlign w:val="center"/>
            <w:hideMark/>
          </w:tcPr>
          <w:p w14:paraId="5C368E10"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tc>
        <w:tc>
          <w:tcPr>
            <w:tcW w:w="5297" w:type="dxa"/>
            <w:tcBorders>
              <w:top w:val="nil"/>
              <w:left w:val="nil"/>
              <w:bottom w:val="single" w:sz="4" w:space="0" w:color="auto"/>
              <w:right w:val="single" w:sz="4" w:space="0" w:color="auto"/>
            </w:tcBorders>
            <w:shd w:val="clear" w:color="000000" w:fill="FFFFFF"/>
            <w:hideMark/>
          </w:tcPr>
          <w:p w14:paraId="33F4EF94" w14:textId="00047C32"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p>
        </w:tc>
      </w:tr>
      <w:tr w:rsidR="00D27ADE" w:rsidRPr="001454DF" w14:paraId="32F002B6" w14:textId="77777777" w:rsidTr="001454DF">
        <w:trPr>
          <w:trHeight w:val="565"/>
        </w:trPr>
        <w:tc>
          <w:tcPr>
            <w:tcW w:w="9458" w:type="dxa"/>
            <w:gridSpan w:val="3"/>
            <w:tcBorders>
              <w:top w:val="nil"/>
              <w:left w:val="nil"/>
              <w:right w:val="nil"/>
            </w:tcBorders>
            <w:shd w:val="clear" w:color="000000" w:fill="FFFFFF"/>
          </w:tcPr>
          <w:p w14:paraId="4533F8B2" w14:textId="77777777" w:rsidR="00D27ADE" w:rsidRPr="001454DF" w:rsidRDefault="00D27ADE" w:rsidP="001454DF">
            <w:pPr>
              <w:spacing w:after="0" w:line="240" w:lineRule="auto"/>
              <w:ind w:left="239"/>
              <w:rPr>
                <w:rFonts w:ascii="Times New Roman" w:eastAsia="Times New Roman" w:hAnsi="Times New Roman" w:cs="Times New Roman"/>
                <w:b/>
                <w:bCs/>
                <w:sz w:val="20"/>
                <w:szCs w:val="20"/>
                <w:lang w:val="en-GB" w:eastAsia="es-ES"/>
              </w:rPr>
            </w:pPr>
          </w:p>
          <w:p w14:paraId="02A94606" w14:textId="46C55191" w:rsidR="00D27ADE" w:rsidRPr="001454DF" w:rsidRDefault="00D27ADE" w:rsidP="001454DF">
            <w:pPr>
              <w:spacing w:after="0" w:line="240" w:lineRule="auto"/>
              <w:ind w:left="239"/>
              <w:rPr>
                <w:rFonts w:ascii="Times New Roman" w:eastAsia="Times New Roman" w:hAnsi="Times New Roman" w:cs="Times New Roman"/>
                <w:b/>
                <w:bCs/>
                <w:sz w:val="20"/>
                <w:szCs w:val="20"/>
                <w:lang w:val="en-GB" w:eastAsia="es-ES"/>
              </w:rPr>
            </w:pPr>
            <w:r w:rsidRPr="001454DF">
              <w:rPr>
                <w:rFonts w:ascii="Times New Roman" w:eastAsia="Times New Roman" w:hAnsi="Times New Roman" w:cs="Times New Roman"/>
                <w:b/>
                <w:bCs/>
                <w:sz w:val="20"/>
                <w:szCs w:val="20"/>
                <w:lang w:val="en-GB" w:eastAsia="es-ES"/>
              </w:rPr>
              <w:t>NSLT Health premium and reserve risk</w:t>
            </w:r>
          </w:p>
        </w:tc>
      </w:tr>
      <w:tr w:rsidR="00D27ADE" w:rsidRPr="001454DF" w14:paraId="1270FDC9" w14:textId="77777777" w:rsidTr="001454DF">
        <w:trPr>
          <w:trHeight w:val="1648"/>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D4D03BD" w14:textId="523AE974"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R1</w:t>
            </w:r>
            <w:r w:rsidR="00135738" w:rsidRPr="001454DF">
              <w:rPr>
                <w:rFonts w:ascii="Times New Roman" w:eastAsia="Times New Roman" w:hAnsi="Times New Roman" w:cs="Times New Roman"/>
                <w:sz w:val="20"/>
                <w:szCs w:val="20"/>
                <w:lang w:val="en-GB" w:eastAsia="es-ES"/>
              </w:rPr>
              <w:t>0</w:t>
            </w:r>
            <w:r w:rsidRPr="001454DF">
              <w:rPr>
                <w:rFonts w:ascii="Times New Roman" w:eastAsia="Times New Roman" w:hAnsi="Times New Roman" w:cs="Times New Roman"/>
                <w:sz w:val="20"/>
                <w:szCs w:val="20"/>
                <w:lang w:val="en-GB" w:eastAsia="es-ES"/>
              </w:rPr>
              <w:t>00-R1030/</w:t>
            </w:r>
          </w:p>
          <w:p w14:paraId="7A9F6524"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C0100</w:t>
            </w:r>
          </w:p>
          <w:p w14:paraId="4E954DB0" w14:textId="79BB2E13" w:rsidR="00135738" w:rsidRPr="001454DF" w:rsidRDefault="00135738">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(A12-A15)</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50D24595" w14:textId="391AE26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Standard deviation for premium risk – USP</w:t>
            </w:r>
          </w:p>
        </w:tc>
        <w:tc>
          <w:tcPr>
            <w:tcW w:w="5297" w:type="dxa"/>
            <w:tcBorders>
              <w:top w:val="single" w:sz="4" w:space="0" w:color="auto"/>
              <w:left w:val="nil"/>
              <w:bottom w:val="single" w:sz="4" w:space="0" w:color="auto"/>
              <w:right w:val="single" w:sz="4" w:space="0" w:color="auto"/>
            </w:tcBorders>
            <w:shd w:val="clear" w:color="000000" w:fill="FFFFFF"/>
            <w:hideMark/>
          </w:tcPr>
          <w:p w14:paraId="2DC44D81" w14:textId="7DAA68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is the </w:t>
            </w:r>
            <w:r w:rsidR="00AE403B" w:rsidRPr="001454DF">
              <w:rPr>
                <w:rFonts w:ascii="Times New Roman" w:eastAsia="Times New Roman" w:hAnsi="Times New Roman" w:cs="Times New Roman"/>
                <w:sz w:val="20"/>
                <w:szCs w:val="20"/>
                <w:lang w:val="en-GB" w:eastAsia="es-ES"/>
              </w:rPr>
              <w:t>group</w:t>
            </w:r>
            <w:r w:rsidRPr="001454DF">
              <w:rPr>
                <w:rFonts w:ascii="Times New Roman" w:eastAsia="Times New Roman" w:hAnsi="Times New Roman" w:cs="Times New Roman"/>
                <w:sz w:val="20"/>
                <w:szCs w:val="20"/>
                <w:lang w:val="en-GB" w:eastAsia="es-ES"/>
              </w:rPr>
              <w:t xml:space="preserve"> specific standard deviation for premium risk for each </w:t>
            </w:r>
            <w:proofErr w:type="gramStart"/>
            <w:r w:rsidRPr="001454DF">
              <w:rPr>
                <w:rFonts w:ascii="Times New Roman" w:eastAsia="Times New Roman" w:hAnsi="Times New Roman" w:cs="Times New Roman"/>
                <w:sz w:val="20"/>
                <w:szCs w:val="20"/>
                <w:lang w:val="en-GB" w:eastAsia="es-ES"/>
              </w:rPr>
              <w:t>lines</w:t>
            </w:r>
            <w:proofErr w:type="gramEnd"/>
            <w:r w:rsidRPr="001454DF">
              <w:rPr>
                <w:rFonts w:ascii="Times New Roman" w:eastAsia="Times New Roman" w:hAnsi="Times New Roman" w:cs="Times New Roman"/>
                <w:sz w:val="20"/>
                <w:szCs w:val="20"/>
                <w:lang w:val="en-GB" w:eastAsia="es-ES"/>
              </w:rPr>
              <w:t xml:space="preserve"> of business and its proportional reinsurance as calculated by the </w:t>
            </w:r>
            <w:r w:rsidR="00AE403B" w:rsidRPr="001454DF">
              <w:rPr>
                <w:rFonts w:ascii="Times New Roman" w:eastAsia="Times New Roman" w:hAnsi="Times New Roman" w:cs="Times New Roman"/>
                <w:sz w:val="20"/>
                <w:szCs w:val="20"/>
                <w:lang w:val="en-GB" w:eastAsia="es-ES"/>
              </w:rPr>
              <w:t>group</w:t>
            </w:r>
            <w:r w:rsidRPr="001454DF">
              <w:rPr>
                <w:rFonts w:ascii="Times New Roman" w:eastAsia="Times New Roman" w:hAnsi="Times New Roman" w:cs="Times New Roman"/>
                <w:sz w:val="20"/>
                <w:szCs w:val="20"/>
                <w:lang w:val="en-GB" w:eastAsia="es-ES"/>
              </w:rPr>
              <w:t xml:space="preserve"> and approved or prescribed by the supervisory authority.</w:t>
            </w:r>
          </w:p>
          <w:p w14:paraId="5EDE28AD"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p w14:paraId="0BCB5462" w14:textId="0D769D96"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item is not reported where no </w:t>
            </w:r>
            <w:r w:rsidR="00AE403B" w:rsidRPr="001454DF">
              <w:rPr>
                <w:rFonts w:ascii="Times New Roman" w:eastAsia="Times New Roman" w:hAnsi="Times New Roman" w:cs="Times New Roman"/>
                <w:sz w:val="20"/>
                <w:szCs w:val="20"/>
                <w:lang w:val="en-GB" w:eastAsia="es-ES"/>
              </w:rPr>
              <w:t>group</w:t>
            </w:r>
            <w:r w:rsidRPr="001454DF">
              <w:rPr>
                <w:rFonts w:ascii="Times New Roman" w:eastAsia="Times New Roman" w:hAnsi="Times New Roman" w:cs="Times New Roman"/>
                <w:sz w:val="20"/>
                <w:szCs w:val="20"/>
                <w:lang w:val="en-GB" w:eastAsia="es-ES"/>
              </w:rPr>
              <w:t xml:space="preserve"> specific parameter is used.</w:t>
            </w:r>
          </w:p>
        </w:tc>
      </w:tr>
      <w:tr w:rsidR="00D27ADE" w:rsidRPr="001454DF" w14:paraId="688DCC1D" w14:textId="77777777" w:rsidTr="001454DF">
        <w:trPr>
          <w:trHeight w:val="2112"/>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C571472"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R1000-R1030/</w:t>
            </w:r>
          </w:p>
          <w:p w14:paraId="2C614BA2"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C0110</w:t>
            </w:r>
          </w:p>
          <w:p w14:paraId="33B84C6E" w14:textId="1B5AC428" w:rsidR="00135738" w:rsidRPr="001454DF" w:rsidRDefault="00135738">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(A12A-A15A)</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4058EAE8" w14:textId="35707E56"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Standard deviation for premium risk –  USP - Adjustment factor for non – proportional reinsurance</w:t>
            </w:r>
          </w:p>
        </w:tc>
        <w:tc>
          <w:tcPr>
            <w:tcW w:w="5297" w:type="dxa"/>
            <w:tcBorders>
              <w:top w:val="single" w:sz="4" w:space="0" w:color="auto"/>
              <w:left w:val="nil"/>
              <w:bottom w:val="single" w:sz="4" w:space="0" w:color="auto"/>
              <w:right w:val="single" w:sz="4" w:space="0" w:color="auto"/>
            </w:tcBorders>
            <w:shd w:val="clear" w:color="000000" w:fill="FFFFFF"/>
            <w:hideMark/>
          </w:tcPr>
          <w:p w14:paraId="2E38A30B" w14:textId="06606DC9"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is the </w:t>
            </w:r>
            <w:r w:rsidR="00AE403B" w:rsidRPr="001454DF">
              <w:rPr>
                <w:rFonts w:ascii="Times New Roman" w:eastAsia="Times New Roman" w:hAnsi="Times New Roman" w:cs="Times New Roman"/>
                <w:sz w:val="20"/>
                <w:szCs w:val="20"/>
                <w:lang w:val="en-GB" w:eastAsia="es-ES"/>
              </w:rPr>
              <w:t>group</w:t>
            </w:r>
            <w:r w:rsidRPr="001454DF">
              <w:rPr>
                <w:rFonts w:ascii="Times New Roman" w:eastAsia="Times New Roman" w:hAnsi="Times New Roman" w:cs="Times New Roman"/>
                <w:sz w:val="20"/>
                <w:szCs w:val="20"/>
                <w:lang w:val="en-GB" w:eastAsia="es-ES"/>
              </w:rPr>
              <w:t xml:space="preserve"> specific adjustment factor for non–proportional reinsurance of each line of business which allows </w:t>
            </w:r>
            <w:r w:rsidR="00AE403B" w:rsidRPr="001454DF">
              <w:rPr>
                <w:rFonts w:ascii="Times New Roman" w:eastAsia="Times New Roman" w:hAnsi="Times New Roman" w:cs="Times New Roman"/>
                <w:sz w:val="20"/>
                <w:szCs w:val="20"/>
                <w:lang w:val="en-GB" w:eastAsia="es-ES"/>
              </w:rPr>
              <w:t>group</w:t>
            </w:r>
            <w:r w:rsidRPr="001454DF">
              <w:rPr>
                <w:rFonts w:ascii="Times New Roman" w:eastAsia="Times New Roman" w:hAnsi="Times New Roman" w:cs="Times New Roman"/>
                <w:sz w:val="20"/>
                <w:szCs w:val="20"/>
                <w:lang w:val="en-GB" w:eastAsia="es-ES"/>
              </w:rPr>
              <w:t xml:space="preserve">s to take into account the risk–mitigating effect of particular per risk excess of loss reinsurance - as calculated by the </w:t>
            </w:r>
            <w:r w:rsidR="00AE403B" w:rsidRPr="001454DF">
              <w:rPr>
                <w:rFonts w:ascii="Times New Roman" w:eastAsia="Times New Roman" w:hAnsi="Times New Roman" w:cs="Times New Roman"/>
                <w:sz w:val="20"/>
                <w:szCs w:val="20"/>
                <w:lang w:val="en-GB" w:eastAsia="es-ES"/>
              </w:rPr>
              <w:t>group</w:t>
            </w:r>
            <w:r w:rsidRPr="001454DF">
              <w:rPr>
                <w:rFonts w:ascii="Times New Roman" w:eastAsia="Times New Roman" w:hAnsi="Times New Roman" w:cs="Times New Roman"/>
                <w:sz w:val="20"/>
                <w:szCs w:val="20"/>
                <w:lang w:val="en-GB" w:eastAsia="es-ES"/>
              </w:rPr>
              <w:t xml:space="preserve"> and approved or prescribed by the supervisory authority</w:t>
            </w:r>
          </w:p>
          <w:p w14:paraId="4DD3B1E4"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p w14:paraId="4D5C49F3" w14:textId="3C607370"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Where no </w:t>
            </w:r>
            <w:r w:rsidR="00AE403B" w:rsidRPr="001454DF">
              <w:rPr>
                <w:rFonts w:ascii="Times New Roman" w:eastAsia="Times New Roman" w:hAnsi="Times New Roman" w:cs="Times New Roman"/>
                <w:sz w:val="20"/>
                <w:szCs w:val="20"/>
                <w:lang w:val="en-GB" w:eastAsia="es-ES"/>
              </w:rPr>
              <w:t>group</w:t>
            </w:r>
            <w:r w:rsidRPr="001454DF">
              <w:rPr>
                <w:rFonts w:ascii="Times New Roman" w:eastAsia="Times New Roman" w:hAnsi="Times New Roman" w:cs="Times New Roman"/>
                <w:sz w:val="20"/>
                <w:szCs w:val="20"/>
                <w:lang w:val="en-GB" w:eastAsia="es-ES"/>
              </w:rPr>
              <w:t xml:space="preserve"> specific parameter is used, this cell should be left blank.</w:t>
            </w:r>
          </w:p>
        </w:tc>
      </w:tr>
      <w:tr w:rsidR="00D27ADE" w:rsidRPr="001454DF" w14:paraId="2CD97835" w14:textId="77777777" w:rsidTr="001454DF">
        <w:trPr>
          <w:trHeight w:val="1688"/>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CF5EA00" w14:textId="44CE8F00" w:rsidR="00135738"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R1000-R1030/</w:t>
            </w:r>
          </w:p>
          <w:p w14:paraId="311EF983"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C0120</w:t>
            </w:r>
          </w:p>
          <w:p w14:paraId="55B8214C" w14:textId="7CB49041" w:rsidR="00135738" w:rsidRPr="001454DF" w:rsidRDefault="00135738">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(B12-B15)</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13E238F4" w14:textId="4350C293"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Standard deviation for reserve risk – USP</w:t>
            </w:r>
          </w:p>
        </w:tc>
        <w:tc>
          <w:tcPr>
            <w:tcW w:w="5297" w:type="dxa"/>
            <w:tcBorders>
              <w:top w:val="single" w:sz="4" w:space="0" w:color="auto"/>
              <w:left w:val="nil"/>
              <w:bottom w:val="single" w:sz="4" w:space="0" w:color="auto"/>
              <w:right w:val="single" w:sz="4" w:space="0" w:color="auto"/>
            </w:tcBorders>
            <w:shd w:val="clear" w:color="000000" w:fill="FFFFFF"/>
            <w:hideMark/>
          </w:tcPr>
          <w:p w14:paraId="68AFA209" w14:textId="46BDE415"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is the </w:t>
            </w:r>
            <w:r w:rsidR="00AE403B" w:rsidRPr="001454DF">
              <w:rPr>
                <w:rFonts w:ascii="Times New Roman" w:eastAsia="Times New Roman" w:hAnsi="Times New Roman" w:cs="Times New Roman"/>
                <w:sz w:val="20"/>
                <w:szCs w:val="20"/>
                <w:lang w:val="en-GB" w:eastAsia="es-ES"/>
              </w:rPr>
              <w:t>group</w:t>
            </w:r>
            <w:r w:rsidRPr="001454DF">
              <w:rPr>
                <w:rFonts w:ascii="Times New Roman" w:eastAsia="Times New Roman" w:hAnsi="Times New Roman" w:cs="Times New Roman"/>
                <w:sz w:val="20"/>
                <w:szCs w:val="20"/>
                <w:lang w:val="en-GB" w:eastAsia="es-ES"/>
              </w:rPr>
              <w:t xml:space="preserve"> specific standard deviation for reserve risk for each line of business and its proportional reinsurance as calculated by the </w:t>
            </w:r>
            <w:r w:rsidR="00AE403B" w:rsidRPr="001454DF">
              <w:rPr>
                <w:rFonts w:ascii="Times New Roman" w:eastAsia="Times New Roman" w:hAnsi="Times New Roman" w:cs="Times New Roman"/>
                <w:sz w:val="20"/>
                <w:szCs w:val="20"/>
                <w:lang w:val="en-GB" w:eastAsia="es-ES"/>
              </w:rPr>
              <w:t>group</w:t>
            </w:r>
            <w:r w:rsidRPr="001454DF">
              <w:rPr>
                <w:rFonts w:ascii="Times New Roman" w:eastAsia="Times New Roman" w:hAnsi="Times New Roman" w:cs="Times New Roman"/>
                <w:sz w:val="20"/>
                <w:szCs w:val="20"/>
                <w:lang w:val="en-GB" w:eastAsia="es-ES"/>
              </w:rPr>
              <w:t xml:space="preserve"> and approved or prescribed by the supervisory authority.</w:t>
            </w:r>
          </w:p>
          <w:p w14:paraId="34E8125B"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p w14:paraId="4614F3CA" w14:textId="7DE3C993"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item is not reported where no </w:t>
            </w:r>
            <w:r w:rsidR="00AE403B" w:rsidRPr="001454DF">
              <w:rPr>
                <w:rFonts w:ascii="Times New Roman" w:eastAsia="Times New Roman" w:hAnsi="Times New Roman" w:cs="Times New Roman"/>
                <w:sz w:val="20"/>
                <w:szCs w:val="20"/>
                <w:lang w:val="en-GB" w:eastAsia="es-ES"/>
              </w:rPr>
              <w:t>group</w:t>
            </w:r>
            <w:r w:rsidRPr="001454DF">
              <w:rPr>
                <w:rFonts w:ascii="Times New Roman" w:eastAsia="Times New Roman" w:hAnsi="Times New Roman" w:cs="Times New Roman"/>
                <w:sz w:val="20"/>
                <w:szCs w:val="20"/>
                <w:lang w:val="en-GB" w:eastAsia="es-ES"/>
              </w:rPr>
              <w:t xml:space="preserve"> specific parameter is used.</w:t>
            </w:r>
          </w:p>
        </w:tc>
      </w:tr>
      <w:tr w:rsidR="00D27ADE" w:rsidRPr="001454DF" w14:paraId="1B2D78E2" w14:textId="77777777" w:rsidTr="001454DF">
        <w:trPr>
          <w:trHeight w:val="567"/>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0882A63"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R1000-R1030/</w:t>
            </w:r>
          </w:p>
          <w:p w14:paraId="7772C09F"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C0130</w:t>
            </w:r>
          </w:p>
          <w:p w14:paraId="12CEF361" w14:textId="2FEE1A34" w:rsidR="00135738" w:rsidRPr="001454DF" w:rsidRDefault="00135738">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(C12-C15)</w:t>
            </w:r>
          </w:p>
        </w:tc>
        <w:tc>
          <w:tcPr>
            <w:tcW w:w="2531" w:type="dxa"/>
            <w:tcBorders>
              <w:top w:val="single" w:sz="4" w:space="0" w:color="auto"/>
              <w:left w:val="nil"/>
              <w:bottom w:val="single" w:sz="4" w:space="0" w:color="auto"/>
              <w:right w:val="single" w:sz="4" w:space="0" w:color="auto"/>
            </w:tcBorders>
            <w:shd w:val="clear" w:color="000000" w:fill="FFFFFF"/>
            <w:hideMark/>
          </w:tcPr>
          <w:p w14:paraId="285B9ACB" w14:textId="230E948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Volume measure for premium and reserve risk –  volume measure for premium risk: </w:t>
            </w:r>
            <w:proofErr w:type="spellStart"/>
            <w:r w:rsidRPr="001454DF">
              <w:rPr>
                <w:rFonts w:ascii="Times New Roman" w:eastAsia="Times New Roman" w:hAnsi="Times New Roman" w:cs="Times New Roman"/>
                <w:sz w:val="20"/>
                <w:szCs w:val="20"/>
                <w:lang w:val="en-GB" w:eastAsia="es-ES"/>
              </w:rPr>
              <w:t>Vprem</w:t>
            </w:r>
            <w:proofErr w:type="spellEnd"/>
          </w:p>
        </w:tc>
        <w:tc>
          <w:tcPr>
            <w:tcW w:w="5297" w:type="dxa"/>
            <w:tcBorders>
              <w:top w:val="single" w:sz="4" w:space="0" w:color="auto"/>
              <w:left w:val="nil"/>
              <w:bottom w:val="single" w:sz="4" w:space="0" w:color="auto"/>
              <w:right w:val="single" w:sz="4" w:space="0" w:color="auto"/>
            </w:tcBorders>
            <w:shd w:val="clear" w:color="000000" w:fill="FFFFFF"/>
            <w:hideMark/>
          </w:tcPr>
          <w:p w14:paraId="5D4E2D52" w14:textId="117A2EF6"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The volume measure for premium risk for each line of business and its proportional reinsurance </w:t>
            </w:r>
          </w:p>
        </w:tc>
      </w:tr>
      <w:tr w:rsidR="00D27ADE" w:rsidRPr="001454DF" w14:paraId="4A1E7C3F" w14:textId="77777777" w:rsidTr="001454DF">
        <w:trPr>
          <w:trHeight w:val="1044"/>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8EC95C0"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R1000-R1030/</w:t>
            </w:r>
          </w:p>
          <w:p w14:paraId="54136ADF"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C0140</w:t>
            </w:r>
          </w:p>
          <w:p w14:paraId="0739C89C" w14:textId="47FEC615" w:rsidR="00135738" w:rsidRPr="001454DF" w:rsidRDefault="00135738">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(D12-D15)</w:t>
            </w:r>
          </w:p>
        </w:tc>
        <w:tc>
          <w:tcPr>
            <w:tcW w:w="2531" w:type="dxa"/>
            <w:tcBorders>
              <w:top w:val="single" w:sz="4" w:space="0" w:color="auto"/>
              <w:left w:val="nil"/>
              <w:bottom w:val="single" w:sz="4" w:space="0" w:color="auto"/>
              <w:right w:val="single" w:sz="4" w:space="0" w:color="auto"/>
            </w:tcBorders>
            <w:shd w:val="clear" w:color="000000" w:fill="FFFFFF"/>
            <w:hideMark/>
          </w:tcPr>
          <w:p w14:paraId="4ED1C4B0" w14:textId="3D86A08D"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Volume measure for premium and reserve risk –Volume measure reserve risk: </w:t>
            </w:r>
            <w:proofErr w:type="spellStart"/>
            <w:r w:rsidRPr="001454DF">
              <w:rPr>
                <w:rFonts w:ascii="Times New Roman" w:eastAsia="Times New Roman" w:hAnsi="Times New Roman" w:cs="Times New Roman"/>
                <w:sz w:val="20"/>
                <w:szCs w:val="20"/>
                <w:lang w:val="en-GB" w:eastAsia="es-ES"/>
              </w:rPr>
              <w:t>Vres</w:t>
            </w:r>
            <w:proofErr w:type="spellEnd"/>
            <w:r w:rsidRPr="001454DF">
              <w:rPr>
                <w:rFonts w:ascii="Times New Roman" w:eastAsia="Times New Roman" w:hAnsi="Times New Roman" w:cs="Times New Roman"/>
                <w:sz w:val="20"/>
                <w:szCs w:val="20"/>
                <w:lang w:val="en-GB" w:eastAsia="es-ES"/>
              </w:rPr>
              <w:t xml:space="preserve"> </w:t>
            </w:r>
          </w:p>
        </w:tc>
        <w:tc>
          <w:tcPr>
            <w:tcW w:w="5297" w:type="dxa"/>
            <w:tcBorders>
              <w:top w:val="single" w:sz="4" w:space="0" w:color="auto"/>
              <w:left w:val="nil"/>
              <w:bottom w:val="single" w:sz="4" w:space="0" w:color="auto"/>
              <w:right w:val="single" w:sz="4" w:space="0" w:color="auto"/>
            </w:tcBorders>
            <w:shd w:val="clear" w:color="000000" w:fill="FFFFFF"/>
            <w:hideMark/>
          </w:tcPr>
          <w:p w14:paraId="607380BB" w14:textId="11007EAE"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The volume measure for reserve risk for  each line of business and its proportional reinsurance</w:t>
            </w:r>
          </w:p>
        </w:tc>
      </w:tr>
      <w:tr w:rsidR="00D27ADE" w:rsidRPr="001454DF" w14:paraId="1BAF2B20" w14:textId="77777777" w:rsidTr="001454DF">
        <w:trPr>
          <w:trHeight w:val="1556"/>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7A21BC9"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R1000-R1030/</w:t>
            </w:r>
          </w:p>
          <w:p w14:paraId="2914055D"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C0150</w:t>
            </w:r>
          </w:p>
          <w:p w14:paraId="2110D785" w14:textId="2CBAD05D" w:rsidR="00135738" w:rsidRPr="001454DF" w:rsidRDefault="00135738">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(E12-E15)</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1E28D991" w14:textId="748830E5"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Volume measure for premium and reserve risk – Geographical Diversification</w:t>
            </w:r>
          </w:p>
        </w:tc>
        <w:tc>
          <w:tcPr>
            <w:tcW w:w="5297" w:type="dxa"/>
            <w:tcBorders>
              <w:top w:val="single" w:sz="4" w:space="0" w:color="auto"/>
              <w:left w:val="nil"/>
              <w:bottom w:val="single" w:sz="4" w:space="0" w:color="auto"/>
              <w:right w:val="single" w:sz="4" w:space="0" w:color="auto"/>
            </w:tcBorders>
            <w:shd w:val="clear" w:color="000000" w:fill="FFFFFF"/>
            <w:hideMark/>
          </w:tcPr>
          <w:p w14:paraId="202F57C2" w14:textId="27C8C6CA"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represents the geographical diversification to be used for the volume measure for premium and reserve risk for each line of business and its proportional reinsurance.</w:t>
            </w:r>
          </w:p>
          <w:p w14:paraId="53467D46"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p w14:paraId="5240D16D" w14:textId="5C7F0820"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If the factor for geographical diversification is not calculated, then this item is set to the default value of 1.</w:t>
            </w:r>
          </w:p>
        </w:tc>
      </w:tr>
      <w:tr w:rsidR="00D27ADE" w:rsidRPr="001454DF" w14:paraId="691AED74" w14:textId="77777777" w:rsidTr="001454DF">
        <w:trPr>
          <w:trHeight w:val="801"/>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FC9A362"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R1000-R1030/</w:t>
            </w:r>
          </w:p>
          <w:p w14:paraId="27E4CFD5"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C0160</w:t>
            </w:r>
          </w:p>
          <w:p w14:paraId="658DB187" w14:textId="4C9DD5B8" w:rsidR="00135738" w:rsidRPr="001454DF" w:rsidRDefault="00135738">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(F12-F15)</w:t>
            </w:r>
          </w:p>
        </w:tc>
        <w:tc>
          <w:tcPr>
            <w:tcW w:w="2531" w:type="dxa"/>
            <w:tcBorders>
              <w:top w:val="single" w:sz="4" w:space="0" w:color="auto"/>
              <w:left w:val="nil"/>
              <w:bottom w:val="single" w:sz="4" w:space="0" w:color="auto"/>
              <w:right w:val="single" w:sz="4" w:space="0" w:color="auto"/>
            </w:tcBorders>
            <w:shd w:val="clear" w:color="000000" w:fill="FFFFFF"/>
            <w:hideMark/>
          </w:tcPr>
          <w:p w14:paraId="07E07A76" w14:textId="722BE30F"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Volume measure for premium and reserve risk -  V</w:t>
            </w:r>
          </w:p>
        </w:tc>
        <w:tc>
          <w:tcPr>
            <w:tcW w:w="5297" w:type="dxa"/>
            <w:tcBorders>
              <w:top w:val="single" w:sz="4" w:space="0" w:color="auto"/>
              <w:left w:val="nil"/>
              <w:bottom w:val="single" w:sz="4" w:space="0" w:color="auto"/>
              <w:right w:val="single" w:sz="4" w:space="0" w:color="auto"/>
            </w:tcBorders>
            <w:shd w:val="clear" w:color="000000" w:fill="FFFFFF"/>
            <w:hideMark/>
          </w:tcPr>
          <w:p w14:paraId="49C6C25B" w14:textId="1B46D425"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The volume measure for NSLT health premium and reserve risk for each line of business and its proportional reinsurance </w:t>
            </w:r>
          </w:p>
        </w:tc>
      </w:tr>
      <w:tr w:rsidR="00D27ADE" w:rsidRPr="001454DF" w14:paraId="7A21C84B" w14:textId="77777777" w:rsidTr="001454DF">
        <w:trPr>
          <w:trHeight w:val="285"/>
        </w:trPr>
        <w:tc>
          <w:tcPr>
            <w:tcW w:w="1630" w:type="dxa"/>
            <w:tcBorders>
              <w:top w:val="nil"/>
              <w:left w:val="single" w:sz="4" w:space="0" w:color="auto"/>
              <w:bottom w:val="single" w:sz="4" w:space="0" w:color="auto"/>
              <w:right w:val="single" w:sz="4" w:space="0" w:color="auto"/>
            </w:tcBorders>
            <w:shd w:val="clear" w:color="000000" w:fill="FFFFFF"/>
          </w:tcPr>
          <w:p w14:paraId="0C303623" w14:textId="08139850"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R1040/C0160</w:t>
            </w:r>
          </w:p>
          <w:p w14:paraId="0F7065AC" w14:textId="3099A493" w:rsidR="00135738" w:rsidRPr="001454DF" w:rsidRDefault="00135738">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(F16)</w:t>
            </w:r>
          </w:p>
        </w:tc>
        <w:tc>
          <w:tcPr>
            <w:tcW w:w="2531" w:type="dxa"/>
            <w:tcBorders>
              <w:top w:val="nil"/>
              <w:left w:val="single" w:sz="4" w:space="0" w:color="auto"/>
              <w:bottom w:val="single" w:sz="4" w:space="0" w:color="auto"/>
              <w:right w:val="single" w:sz="4" w:space="0" w:color="auto"/>
            </w:tcBorders>
            <w:shd w:val="clear" w:color="000000" w:fill="FFFFFF"/>
          </w:tcPr>
          <w:p w14:paraId="65F93287"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Total Volume measure for premium and reserve risk </w:t>
            </w:r>
          </w:p>
        </w:tc>
        <w:tc>
          <w:tcPr>
            <w:tcW w:w="5297" w:type="dxa"/>
            <w:tcBorders>
              <w:top w:val="single" w:sz="4" w:space="0" w:color="auto"/>
              <w:left w:val="single" w:sz="4" w:space="0" w:color="auto"/>
              <w:bottom w:val="single" w:sz="4" w:space="0" w:color="000000"/>
              <w:right w:val="single" w:sz="4" w:space="0" w:color="auto"/>
            </w:tcBorders>
            <w:shd w:val="clear" w:color="000000" w:fill="FFFFFF"/>
          </w:tcPr>
          <w:p w14:paraId="241443FB"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The total volume measure for premium and reserve risk, equal to the sum of the volume measures for premium and reserve risk for all lines of business:</w:t>
            </w:r>
          </w:p>
          <w:p w14:paraId="283E53CE" w14:textId="6ED25141"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tc>
      </w:tr>
      <w:tr w:rsidR="00D27ADE" w:rsidRPr="001454DF" w14:paraId="3F033EE4" w14:textId="77777777" w:rsidTr="001454DF">
        <w:trPr>
          <w:trHeight w:val="285"/>
        </w:trPr>
        <w:tc>
          <w:tcPr>
            <w:tcW w:w="1630" w:type="dxa"/>
            <w:vMerge w:val="restart"/>
            <w:tcBorders>
              <w:top w:val="nil"/>
              <w:left w:val="single" w:sz="4" w:space="0" w:color="auto"/>
              <w:bottom w:val="single" w:sz="4" w:space="0" w:color="auto"/>
              <w:right w:val="single" w:sz="4" w:space="0" w:color="auto"/>
            </w:tcBorders>
            <w:shd w:val="clear" w:color="000000" w:fill="FFFFFF"/>
          </w:tcPr>
          <w:p w14:paraId="674B8BB5" w14:textId="060D37E9"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R1050/C0100</w:t>
            </w:r>
          </w:p>
          <w:p w14:paraId="2230C289" w14:textId="005F84ED" w:rsidR="00135738" w:rsidRPr="001454DF" w:rsidRDefault="00135738">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(A16)</w:t>
            </w:r>
          </w:p>
        </w:tc>
        <w:tc>
          <w:tcPr>
            <w:tcW w:w="2531" w:type="dxa"/>
            <w:vMerge w:val="restart"/>
            <w:tcBorders>
              <w:top w:val="nil"/>
              <w:left w:val="single" w:sz="4" w:space="0" w:color="auto"/>
              <w:bottom w:val="single" w:sz="4" w:space="0" w:color="auto"/>
              <w:right w:val="single" w:sz="4" w:space="0" w:color="auto"/>
            </w:tcBorders>
            <w:shd w:val="clear" w:color="000000" w:fill="FFFFFF"/>
            <w:hideMark/>
          </w:tcPr>
          <w:p w14:paraId="43A3BE76"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Combined standard deviation</w:t>
            </w:r>
          </w:p>
        </w:tc>
        <w:tc>
          <w:tcPr>
            <w:tcW w:w="5297"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7BCE93A6"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combined standard deviation for premium and reserve risk for all segments.</w:t>
            </w:r>
          </w:p>
        </w:tc>
      </w:tr>
      <w:tr w:rsidR="00D27ADE" w:rsidRPr="001454DF" w14:paraId="4ACBFE23" w14:textId="77777777" w:rsidTr="001454DF">
        <w:trPr>
          <w:trHeight w:val="285"/>
        </w:trPr>
        <w:tc>
          <w:tcPr>
            <w:tcW w:w="1630" w:type="dxa"/>
            <w:vMerge/>
            <w:tcBorders>
              <w:top w:val="nil"/>
              <w:left w:val="single" w:sz="4" w:space="0" w:color="auto"/>
              <w:bottom w:val="single" w:sz="4" w:space="0" w:color="auto"/>
              <w:right w:val="single" w:sz="4" w:space="0" w:color="auto"/>
            </w:tcBorders>
            <w:vAlign w:val="center"/>
          </w:tcPr>
          <w:p w14:paraId="7A9086C5"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tc>
        <w:tc>
          <w:tcPr>
            <w:tcW w:w="2531" w:type="dxa"/>
            <w:vMerge/>
            <w:tcBorders>
              <w:top w:val="nil"/>
              <w:left w:val="single" w:sz="4" w:space="0" w:color="auto"/>
              <w:bottom w:val="single" w:sz="4" w:space="0" w:color="auto"/>
              <w:right w:val="single" w:sz="4" w:space="0" w:color="auto"/>
            </w:tcBorders>
            <w:vAlign w:val="center"/>
            <w:hideMark/>
          </w:tcPr>
          <w:p w14:paraId="158F1A85"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tc>
        <w:tc>
          <w:tcPr>
            <w:tcW w:w="5297" w:type="dxa"/>
            <w:vMerge/>
            <w:tcBorders>
              <w:top w:val="single" w:sz="4" w:space="0" w:color="auto"/>
              <w:left w:val="single" w:sz="4" w:space="0" w:color="auto"/>
              <w:bottom w:val="single" w:sz="4" w:space="0" w:color="000000"/>
              <w:right w:val="single" w:sz="4" w:space="0" w:color="auto"/>
            </w:tcBorders>
            <w:vAlign w:val="center"/>
            <w:hideMark/>
          </w:tcPr>
          <w:p w14:paraId="2DF929F9"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tc>
      </w:tr>
      <w:tr w:rsidR="00D27ADE" w:rsidRPr="001454DF" w14:paraId="0CB3B853" w14:textId="77777777" w:rsidTr="001454DF">
        <w:trPr>
          <w:trHeight w:val="285"/>
        </w:trPr>
        <w:tc>
          <w:tcPr>
            <w:tcW w:w="1630" w:type="dxa"/>
            <w:vMerge/>
            <w:tcBorders>
              <w:top w:val="nil"/>
              <w:left w:val="single" w:sz="4" w:space="0" w:color="auto"/>
              <w:bottom w:val="single" w:sz="4" w:space="0" w:color="auto"/>
              <w:right w:val="single" w:sz="4" w:space="0" w:color="auto"/>
            </w:tcBorders>
            <w:vAlign w:val="center"/>
          </w:tcPr>
          <w:p w14:paraId="0EE165E6"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tc>
        <w:tc>
          <w:tcPr>
            <w:tcW w:w="2531" w:type="dxa"/>
            <w:vMerge/>
            <w:tcBorders>
              <w:top w:val="nil"/>
              <w:left w:val="single" w:sz="4" w:space="0" w:color="auto"/>
              <w:bottom w:val="single" w:sz="4" w:space="0" w:color="auto"/>
              <w:right w:val="single" w:sz="4" w:space="0" w:color="auto"/>
            </w:tcBorders>
            <w:vAlign w:val="center"/>
            <w:hideMark/>
          </w:tcPr>
          <w:p w14:paraId="780EF295"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tc>
        <w:tc>
          <w:tcPr>
            <w:tcW w:w="5297" w:type="dxa"/>
            <w:vMerge/>
            <w:tcBorders>
              <w:top w:val="single" w:sz="4" w:space="0" w:color="auto"/>
              <w:left w:val="single" w:sz="4" w:space="0" w:color="auto"/>
              <w:bottom w:val="single" w:sz="4" w:space="0" w:color="000000"/>
              <w:right w:val="single" w:sz="4" w:space="0" w:color="auto"/>
            </w:tcBorders>
            <w:vAlign w:val="center"/>
            <w:hideMark/>
          </w:tcPr>
          <w:p w14:paraId="707D29A6"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tc>
      </w:tr>
      <w:tr w:rsidR="00D27ADE" w:rsidRPr="001454DF" w14:paraId="1A984E8E" w14:textId="77777777" w:rsidTr="001454DF">
        <w:trPr>
          <w:trHeight w:val="230"/>
        </w:trPr>
        <w:tc>
          <w:tcPr>
            <w:tcW w:w="1630" w:type="dxa"/>
            <w:vMerge/>
            <w:tcBorders>
              <w:top w:val="nil"/>
              <w:left w:val="single" w:sz="4" w:space="0" w:color="auto"/>
              <w:bottom w:val="single" w:sz="4" w:space="0" w:color="auto"/>
              <w:right w:val="single" w:sz="4" w:space="0" w:color="auto"/>
            </w:tcBorders>
            <w:vAlign w:val="center"/>
          </w:tcPr>
          <w:p w14:paraId="51F05CC2"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tc>
        <w:tc>
          <w:tcPr>
            <w:tcW w:w="2531" w:type="dxa"/>
            <w:vMerge/>
            <w:tcBorders>
              <w:top w:val="nil"/>
              <w:left w:val="single" w:sz="4" w:space="0" w:color="auto"/>
              <w:bottom w:val="single" w:sz="4" w:space="0" w:color="auto"/>
              <w:right w:val="single" w:sz="4" w:space="0" w:color="auto"/>
            </w:tcBorders>
            <w:vAlign w:val="center"/>
            <w:hideMark/>
          </w:tcPr>
          <w:p w14:paraId="0D235BB1"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tc>
        <w:tc>
          <w:tcPr>
            <w:tcW w:w="5297" w:type="dxa"/>
            <w:vMerge/>
            <w:tcBorders>
              <w:top w:val="nil"/>
              <w:left w:val="single" w:sz="4" w:space="0" w:color="auto"/>
              <w:bottom w:val="single" w:sz="4" w:space="0" w:color="000000"/>
              <w:right w:val="single" w:sz="4" w:space="0" w:color="auto"/>
            </w:tcBorders>
            <w:vAlign w:val="center"/>
            <w:hideMark/>
          </w:tcPr>
          <w:p w14:paraId="20814748"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tc>
      </w:tr>
      <w:tr w:rsidR="00D5008F" w:rsidRPr="001454DF" w14:paraId="3369795F" w14:textId="77777777" w:rsidTr="001454DF">
        <w:trPr>
          <w:trHeight w:val="285"/>
        </w:trPr>
        <w:tc>
          <w:tcPr>
            <w:tcW w:w="1630" w:type="dxa"/>
            <w:vMerge w:val="restart"/>
            <w:tcBorders>
              <w:top w:val="single" w:sz="4" w:space="0" w:color="auto"/>
              <w:left w:val="single" w:sz="4" w:space="0" w:color="auto"/>
              <w:bottom w:val="single" w:sz="4" w:space="0" w:color="auto"/>
              <w:right w:val="single" w:sz="4" w:space="0" w:color="auto"/>
            </w:tcBorders>
            <w:shd w:val="clear" w:color="000000" w:fill="FFFFFF"/>
          </w:tcPr>
          <w:p w14:paraId="78EF627C" w14:textId="6A9D0242" w:rsidR="00D5008F" w:rsidRPr="001454DF" w:rsidRDefault="00D5008F" w:rsidP="001454DF">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R1100/C0170</w:t>
            </w:r>
          </w:p>
          <w:p w14:paraId="12A21A6C" w14:textId="77777777" w:rsidR="00D5008F" w:rsidRPr="001454DF" w:rsidRDefault="00D5008F" w:rsidP="001454DF">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(A17)</w:t>
            </w:r>
          </w:p>
        </w:tc>
        <w:tc>
          <w:tcPr>
            <w:tcW w:w="2531"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6FDC5FF2" w14:textId="77777777" w:rsidR="00D5008F" w:rsidRPr="001454DF" w:rsidRDefault="00D5008F" w:rsidP="001454DF">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Solvency capital requirement - NSLT health premium and reserve risk</w:t>
            </w:r>
          </w:p>
        </w:tc>
        <w:tc>
          <w:tcPr>
            <w:tcW w:w="5297"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7459C863" w14:textId="77777777" w:rsidR="00D5008F" w:rsidRPr="001454DF" w:rsidRDefault="00D5008F" w:rsidP="001454DF">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total capital charge for the NSLT health premium and reserve risk sub module.</w:t>
            </w:r>
          </w:p>
        </w:tc>
      </w:tr>
      <w:tr w:rsidR="00D5008F" w:rsidRPr="001454DF" w14:paraId="4933D535" w14:textId="77777777" w:rsidTr="001454DF">
        <w:trPr>
          <w:trHeight w:val="435"/>
        </w:trPr>
        <w:tc>
          <w:tcPr>
            <w:tcW w:w="1630" w:type="dxa"/>
            <w:vMerge/>
            <w:tcBorders>
              <w:top w:val="single" w:sz="4" w:space="0" w:color="auto"/>
              <w:left w:val="single" w:sz="4" w:space="0" w:color="auto"/>
              <w:bottom w:val="single" w:sz="4" w:space="0" w:color="auto"/>
              <w:right w:val="single" w:sz="4" w:space="0" w:color="auto"/>
            </w:tcBorders>
            <w:vAlign w:val="center"/>
          </w:tcPr>
          <w:p w14:paraId="706211A4" w14:textId="77777777" w:rsidR="00D5008F" w:rsidRPr="001454DF" w:rsidRDefault="00D5008F" w:rsidP="001454DF">
            <w:pPr>
              <w:spacing w:after="0" w:line="240" w:lineRule="auto"/>
              <w:ind w:left="239"/>
              <w:rPr>
                <w:rFonts w:ascii="Times New Roman" w:eastAsia="Times New Roman" w:hAnsi="Times New Roman" w:cs="Times New Roman"/>
                <w:sz w:val="20"/>
                <w:szCs w:val="20"/>
                <w:lang w:val="en-GB" w:eastAsia="es-ES"/>
              </w:rPr>
            </w:pPr>
          </w:p>
        </w:tc>
        <w:tc>
          <w:tcPr>
            <w:tcW w:w="2531" w:type="dxa"/>
            <w:vMerge/>
            <w:tcBorders>
              <w:top w:val="single" w:sz="4" w:space="0" w:color="auto"/>
              <w:left w:val="single" w:sz="4" w:space="0" w:color="auto"/>
              <w:bottom w:val="single" w:sz="4" w:space="0" w:color="auto"/>
              <w:right w:val="single" w:sz="4" w:space="0" w:color="auto"/>
            </w:tcBorders>
            <w:vAlign w:val="center"/>
            <w:hideMark/>
          </w:tcPr>
          <w:p w14:paraId="7D4BC280" w14:textId="77777777" w:rsidR="00D5008F" w:rsidRPr="001454DF" w:rsidRDefault="00D5008F" w:rsidP="001454DF">
            <w:pPr>
              <w:spacing w:after="0" w:line="240" w:lineRule="auto"/>
              <w:ind w:left="239"/>
              <w:rPr>
                <w:rFonts w:ascii="Times New Roman" w:eastAsia="Times New Roman" w:hAnsi="Times New Roman" w:cs="Times New Roman"/>
                <w:sz w:val="20"/>
                <w:szCs w:val="20"/>
                <w:lang w:val="en-GB" w:eastAsia="es-ES"/>
              </w:rPr>
            </w:pPr>
          </w:p>
        </w:tc>
        <w:tc>
          <w:tcPr>
            <w:tcW w:w="5297" w:type="dxa"/>
            <w:vMerge/>
            <w:tcBorders>
              <w:top w:val="single" w:sz="4" w:space="0" w:color="auto"/>
              <w:left w:val="single" w:sz="4" w:space="0" w:color="auto"/>
              <w:bottom w:val="single" w:sz="4" w:space="0" w:color="auto"/>
              <w:right w:val="single" w:sz="4" w:space="0" w:color="auto"/>
            </w:tcBorders>
            <w:vAlign w:val="center"/>
            <w:hideMark/>
          </w:tcPr>
          <w:p w14:paraId="5E71A780" w14:textId="77777777" w:rsidR="00D5008F" w:rsidRPr="001454DF" w:rsidRDefault="00D5008F" w:rsidP="001454DF">
            <w:pPr>
              <w:spacing w:after="0" w:line="240" w:lineRule="auto"/>
              <w:ind w:left="239"/>
              <w:rPr>
                <w:rFonts w:ascii="Times New Roman" w:eastAsia="Times New Roman" w:hAnsi="Times New Roman" w:cs="Times New Roman"/>
                <w:sz w:val="20"/>
                <w:szCs w:val="20"/>
                <w:lang w:val="en-GB" w:eastAsia="es-ES"/>
              </w:rPr>
            </w:pPr>
          </w:p>
        </w:tc>
      </w:tr>
      <w:tr w:rsidR="00D27ADE" w:rsidRPr="001454DF" w14:paraId="59191282" w14:textId="77777777" w:rsidTr="001454DF">
        <w:trPr>
          <w:trHeight w:val="141"/>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CF7A873" w14:textId="7FD369E2"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R1</w:t>
            </w:r>
            <w:r w:rsidR="00D5008F" w:rsidRPr="001454DF">
              <w:rPr>
                <w:rFonts w:ascii="Times New Roman" w:eastAsia="Times New Roman" w:hAnsi="Times New Roman" w:cs="Times New Roman"/>
                <w:sz w:val="20"/>
                <w:szCs w:val="20"/>
                <w:lang w:val="en-GB" w:eastAsia="es-ES"/>
              </w:rPr>
              <w:t>2</w:t>
            </w:r>
            <w:r w:rsidRPr="001454DF">
              <w:rPr>
                <w:rFonts w:ascii="Times New Roman" w:eastAsia="Times New Roman" w:hAnsi="Times New Roman" w:cs="Times New Roman"/>
                <w:sz w:val="20"/>
                <w:szCs w:val="20"/>
                <w:lang w:val="en-GB" w:eastAsia="es-ES"/>
              </w:rPr>
              <w:t>00/C01</w:t>
            </w:r>
            <w:r w:rsidR="00D5008F" w:rsidRPr="001454DF">
              <w:rPr>
                <w:rFonts w:ascii="Times New Roman" w:eastAsia="Times New Roman" w:hAnsi="Times New Roman" w:cs="Times New Roman"/>
                <w:sz w:val="20"/>
                <w:szCs w:val="20"/>
                <w:lang w:val="en-GB" w:eastAsia="es-ES"/>
              </w:rPr>
              <w:t>8</w:t>
            </w:r>
            <w:r w:rsidRPr="001454DF">
              <w:rPr>
                <w:rFonts w:ascii="Times New Roman" w:eastAsia="Times New Roman" w:hAnsi="Times New Roman" w:cs="Times New Roman"/>
                <w:sz w:val="20"/>
                <w:szCs w:val="20"/>
                <w:lang w:val="en-GB" w:eastAsia="es-ES"/>
              </w:rPr>
              <w:t>0</w:t>
            </w:r>
          </w:p>
          <w:p w14:paraId="73AE7D9E" w14:textId="44ABE19F" w:rsidR="007A6C2F" w:rsidRPr="001454DF" w:rsidRDefault="007A6C2F">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(A18)</w:t>
            </w:r>
          </w:p>
        </w:tc>
        <w:tc>
          <w:tcPr>
            <w:tcW w:w="2531" w:type="dxa"/>
            <w:tcBorders>
              <w:top w:val="single" w:sz="4" w:space="0" w:color="auto"/>
              <w:left w:val="nil"/>
              <w:bottom w:val="single" w:sz="4" w:space="0" w:color="auto"/>
              <w:right w:val="single" w:sz="4" w:space="0" w:color="auto"/>
            </w:tcBorders>
            <w:shd w:val="clear" w:color="000000" w:fill="FFFFFF"/>
            <w:hideMark/>
          </w:tcPr>
          <w:p w14:paraId="08160C57"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Initial absolute values before shock – Assets – Lapse risk</w:t>
            </w:r>
          </w:p>
        </w:tc>
        <w:tc>
          <w:tcPr>
            <w:tcW w:w="5297" w:type="dxa"/>
            <w:tcBorders>
              <w:top w:val="single" w:sz="4" w:space="0" w:color="auto"/>
              <w:left w:val="nil"/>
              <w:bottom w:val="single" w:sz="4" w:space="0" w:color="auto"/>
              <w:right w:val="single" w:sz="4" w:space="0" w:color="auto"/>
            </w:tcBorders>
            <w:shd w:val="clear" w:color="000000" w:fill="FFFFFF"/>
            <w:hideMark/>
          </w:tcPr>
          <w:p w14:paraId="2F0BF5A4"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the assets subject to the NSLT health lapse risk, before the shock.</w:t>
            </w:r>
          </w:p>
          <w:p w14:paraId="78DB70A9"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p w14:paraId="50E4157C" w14:textId="1FB8A69C"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1454DF" w14:paraId="34F34AD2" w14:textId="77777777" w:rsidTr="001454DF">
        <w:trPr>
          <w:trHeight w:val="720"/>
        </w:trPr>
        <w:tc>
          <w:tcPr>
            <w:tcW w:w="1630" w:type="dxa"/>
            <w:tcBorders>
              <w:top w:val="nil"/>
              <w:left w:val="single" w:sz="4" w:space="0" w:color="auto"/>
              <w:bottom w:val="single" w:sz="4" w:space="0" w:color="auto"/>
              <w:right w:val="single" w:sz="4" w:space="0" w:color="auto"/>
            </w:tcBorders>
            <w:shd w:val="clear" w:color="000000" w:fill="FFFFFF"/>
          </w:tcPr>
          <w:p w14:paraId="708047F0" w14:textId="28D37FAA"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R1</w:t>
            </w:r>
            <w:r w:rsidR="00D5008F" w:rsidRPr="001454DF">
              <w:rPr>
                <w:rFonts w:ascii="Times New Roman" w:eastAsia="Times New Roman" w:hAnsi="Times New Roman" w:cs="Times New Roman"/>
                <w:sz w:val="20"/>
                <w:szCs w:val="20"/>
                <w:lang w:val="en-GB" w:eastAsia="es-ES"/>
              </w:rPr>
              <w:t>2</w:t>
            </w:r>
            <w:r w:rsidRPr="001454DF">
              <w:rPr>
                <w:rFonts w:ascii="Times New Roman" w:eastAsia="Times New Roman" w:hAnsi="Times New Roman" w:cs="Times New Roman"/>
                <w:sz w:val="20"/>
                <w:szCs w:val="20"/>
                <w:lang w:val="en-GB" w:eastAsia="es-ES"/>
              </w:rPr>
              <w:t>00/C01</w:t>
            </w:r>
            <w:r w:rsidR="00D5008F" w:rsidRPr="001454DF">
              <w:rPr>
                <w:rFonts w:ascii="Times New Roman" w:eastAsia="Times New Roman" w:hAnsi="Times New Roman" w:cs="Times New Roman"/>
                <w:sz w:val="20"/>
                <w:szCs w:val="20"/>
                <w:lang w:val="en-GB" w:eastAsia="es-ES"/>
              </w:rPr>
              <w:t>9</w:t>
            </w:r>
            <w:r w:rsidRPr="001454DF">
              <w:rPr>
                <w:rFonts w:ascii="Times New Roman" w:eastAsia="Times New Roman" w:hAnsi="Times New Roman" w:cs="Times New Roman"/>
                <w:sz w:val="20"/>
                <w:szCs w:val="20"/>
                <w:lang w:val="en-GB" w:eastAsia="es-ES"/>
              </w:rPr>
              <w:t>0</w:t>
            </w:r>
          </w:p>
          <w:p w14:paraId="579BDA21" w14:textId="435340D5" w:rsidR="007A6C2F" w:rsidRPr="001454DF" w:rsidRDefault="007A6C2F">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(A18A)</w:t>
            </w:r>
          </w:p>
        </w:tc>
        <w:tc>
          <w:tcPr>
            <w:tcW w:w="2531" w:type="dxa"/>
            <w:tcBorders>
              <w:top w:val="nil"/>
              <w:left w:val="nil"/>
              <w:bottom w:val="single" w:sz="4" w:space="0" w:color="auto"/>
              <w:right w:val="single" w:sz="4" w:space="0" w:color="auto"/>
            </w:tcBorders>
            <w:shd w:val="clear" w:color="000000" w:fill="FFFFFF"/>
            <w:hideMark/>
          </w:tcPr>
          <w:p w14:paraId="110C0DF1"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Initial absolute values before shock – Liabilities – Lapse risk </w:t>
            </w:r>
          </w:p>
        </w:tc>
        <w:tc>
          <w:tcPr>
            <w:tcW w:w="5297" w:type="dxa"/>
            <w:tcBorders>
              <w:top w:val="nil"/>
              <w:left w:val="nil"/>
              <w:bottom w:val="single" w:sz="4" w:space="0" w:color="auto"/>
              <w:right w:val="single" w:sz="4" w:space="0" w:color="auto"/>
            </w:tcBorders>
            <w:shd w:val="clear" w:color="000000" w:fill="FFFFFF"/>
            <w:hideMark/>
          </w:tcPr>
          <w:p w14:paraId="6EE5254F"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liabilities subject to the NSLT health lapse risk, before the shock.</w:t>
            </w:r>
          </w:p>
          <w:p w14:paraId="67D535D7"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p w14:paraId="167F83E3" w14:textId="797F79E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The amount of TP shall be net of reinsurance and SPV recoverables.</w:t>
            </w:r>
          </w:p>
        </w:tc>
      </w:tr>
      <w:tr w:rsidR="00D27ADE" w:rsidRPr="001454DF" w14:paraId="1A584F96" w14:textId="77777777" w:rsidTr="001454DF">
        <w:trPr>
          <w:trHeight w:val="720"/>
        </w:trPr>
        <w:tc>
          <w:tcPr>
            <w:tcW w:w="1630" w:type="dxa"/>
            <w:tcBorders>
              <w:top w:val="nil"/>
              <w:left w:val="single" w:sz="4" w:space="0" w:color="auto"/>
              <w:bottom w:val="single" w:sz="4" w:space="0" w:color="auto"/>
              <w:right w:val="single" w:sz="4" w:space="0" w:color="auto"/>
            </w:tcBorders>
            <w:shd w:val="clear" w:color="000000" w:fill="FFFFFF"/>
          </w:tcPr>
          <w:p w14:paraId="7CAFDFBB" w14:textId="2F464D41"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R1</w:t>
            </w:r>
            <w:r w:rsidR="00D5008F" w:rsidRPr="001454DF">
              <w:rPr>
                <w:rFonts w:ascii="Times New Roman" w:eastAsia="Times New Roman" w:hAnsi="Times New Roman" w:cs="Times New Roman"/>
                <w:sz w:val="20"/>
                <w:szCs w:val="20"/>
                <w:lang w:val="en-GB" w:eastAsia="es-ES"/>
              </w:rPr>
              <w:t>2</w:t>
            </w:r>
            <w:r w:rsidRPr="001454DF">
              <w:rPr>
                <w:rFonts w:ascii="Times New Roman" w:eastAsia="Times New Roman" w:hAnsi="Times New Roman" w:cs="Times New Roman"/>
                <w:sz w:val="20"/>
                <w:szCs w:val="20"/>
                <w:lang w:val="en-GB" w:eastAsia="es-ES"/>
              </w:rPr>
              <w:t>00/C0</w:t>
            </w:r>
            <w:r w:rsidR="00D5008F" w:rsidRPr="001454DF">
              <w:rPr>
                <w:rFonts w:ascii="Times New Roman" w:eastAsia="Times New Roman" w:hAnsi="Times New Roman" w:cs="Times New Roman"/>
                <w:sz w:val="20"/>
                <w:szCs w:val="20"/>
                <w:lang w:val="en-GB" w:eastAsia="es-ES"/>
              </w:rPr>
              <w:t>20</w:t>
            </w:r>
            <w:r w:rsidRPr="001454DF">
              <w:rPr>
                <w:rFonts w:ascii="Times New Roman" w:eastAsia="Times New Roman" w:hAnsi="Times New Roman" w:cs="Times New Roman"/>
                <w:sz w:val="20"/>
                <w:szCs w:val="20"/>
                <w:lang w:val="en-GB" w:eastAsia="es-ES"/>
              </w:rPr>
              <w:t>0</w:t>
            </w:r>
          </w:p>
          <w:p w14:paraId="1BD7D34F" w14:textId="2F56ECE0" w:rsidR="007A6C2F" w:rsidRPr="001454DF" w:rsidRDefault="007A6C2F">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(B18)</w:t>
            </w:r>
          </w:p>
        </w:tc>
        <w:tc>
          <w:tcPr>
            <w:tcW w:w="2531" w:type="dxa"/>
            <w:tcBorders>
              <w:top w:val="nil"/>
              <w:left w:val="nil"/>
              <w:bottom w:val="single" w:sz="4" w:space="0" w:color="auto"/>
              <w:right w:val="single" w:sz="4" w:space="0" w:color="auto"/>
            </w:tcBorders>
            <w:shd w:val="clear" w:color="000000" w:fill="FFFFFF"/>
            <w:hideMark/>
          </w:tcPr>
          <w:p w14:paraId="41D232F9"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values after shock – Assets – Lapse risk </w:t>
            </w:r>
          </w:p>
        </w:tc>
        <w:tc>
          <w:tcPr>
            <w:tcW w:w="5297" w:type="dxa"/>
            <w:tcBorders>
              <w:top w:val="nil"/>
              <w:left w:val="nil"/>
              <w:bottom w:val="single" w:sz="4" w:space="0" w:color="auto"/>
              <w:right w:val="single" w:sz="4" w:space="0" w:color="auto"/>
            </w:tcBorders>
            <w:shd w:val="clear" w:color="000000" w:fill="FFFFFF"/>
            <w:hideMark/>
          </w:tcPr>
          <w:p w14:paraId="7BC8C0EE" w14:textId="370E7B06"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the assets subject to the NSLT health lapse risk, after the shock.</w:t>
            </w:r>
          </w:p>
          <w:p w14:paraId="5F9E6F15"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p>
          <w:p w14:paraId="37FA59EB" w14:textId="5C1865F3"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1454DF" w14:paraId="0486AD2D" w14:textId="77777777" w:rsidTr="001454DF">
        <w:trPr>
          <w:trHeight w:val="1245"/>
        </w:trPr>
        <w:tc>
          <w:tcPr>
            <w:tcW w:w="1630" w:type="dxa"/>
            <w:tcBorders>
              <w:top w:val="nil"/>
              <w:left w:val="single" w:sz="4" w:space="0" w:color="auto"/>
              <w:bottom w:val="single" w:sz="4" w:space="0" w:color="auto"/>
              <w:right w:val="single" w:sz="4" w:space="0" w:color="auto"/>
            </w:tcBorders>
            <w:shd w:val="clear" w:color="000000" w:fill="FFFFFF"/>
          </w:tcPr>
          <w:p w14:paraId="77FD5B12" w14:textId="30264DDF"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R1</w:t>
            </w:r>
            <w:r w:rsidR="00D5008F" w:rsidRPr="001454DF">
              <w:rPr>
                <w:rFonts w:ascii="Times New Roman" w:eastAsia="Times New Roman" w:hAnsi="Times New Roman" w:cs="Times New Roman"/>
                <w:sz w:val="20"/>
                <w:szCs w:val="20"/>
                <w:lang w:val="en-GB" w:eastAsia="es-ES"/>
              </w:rPr>
              <w:t>2</w:t>
            </w:r>
            <w:r w:rsidRPr="001454DF">
              <w:rPr>
                <w:rFonts w:ascii="Times New Roman" w:eastAsia="Times New Roman" w:hAnsi="Times New Roman" w:cs="Times New Roman"/>
                <w:sz w:val="20"/>
                <w:szCs w:val="20"/>
                <w:lang w:val="en-GB" w:eastAsia="es-ES"/>
              </w:rPr>
              <w:t>00/C02</w:t>
            </w:r>
            <w:r w:rsidR="00D5008F" w:rsidRPr="001454DF">
              <w:rPr>
                <w:rFonts w:ascii="Times New Roman" w:eastAsia="Times New Roman" w:hAnsi="Times New Roman" w:cs="Times New Roman"/>
                <w:sz w:val="20"/>
                <w:szCs w:val="20"/>
                <w:lang w:val="en-GB" w:eastAsia="es-ES"/>
              </w:rPr>
              <w:t>1</w:t>
            </w:r>
            <w:r w:rsidRPr="001454DF">
              <w:rPr>
                <w:rFonts w:ascii="Times New Roman" w:eastAsia="Times New Roman" w:hAnsi="Times New Roman" w:cs="Times New Roman"/>
                <w:sz w:val="20"/>
                <w:szCs w:val="20"/>
                <w:lang w:val="en-GB" w:eastAsia="es-ES"/>
              </w:rPr>
              <w:t>0</w:t>
            </w:r>
          </w:p>
          <w:p w14:paraId="4C3CCD6B" w14:textId="6B89C603" w:rsidR="007A6C2F" w:rsidRPr="001454DF" w:rsidRDefault="007A6C2F">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(B18B)</w:t>
            </w:r>
          </w:p>
        </w:tc>
        <w:tc>
          <w:tcPr>
            <w:tcW w:w="2531" w:type="dxa"/>
            <w:tcBorders>
              <w:top w:val="nil"/>
              <w:left w:val="nil"/>
              <w:bottom w:val="single" w:sz="4" w:space="0" w:color="auto"/>
              <w:right w:val="single" w:sz="4" w:space="0" w:color="auto"/>
            </w:tcBorders>
            <w:shd w:val="clear" w:color="000000" w:fill="FFFFFF"/>
            <w:hideMark/>
          </w:tcPr>
          <w:p w14:paraId="53A16959" w14:textId="4F32A2EA"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values after shock Liabilities – Lapse risk </w:t>
            </w:r>
          </w:p>
        </w:tc>
        <w:tc>
          <w:tcPr>
            <w:tcW w:w="5297" w:type="dxa"/>
            <w:tcBorders>
              <w:top w:val="nil"/>
              <w:left w:val="nil"/>
              <w:bottom w:val="single" w:sz="4" w:space="0" w:color="auto"/>
              <w:right w:val="single" w:sz="4" w:space="0" w:color="auto"/>
            </w:tcBorders>
            <w:shd w:val="clear" w:color="000000" w:fill="FFFFFF"/>
            <w:hideMark/>
          </w:tcPr>
          <w:p w14:paraId="2A749C57" w14:textId="2A3D36A9"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absolute value of the liabilities subject to lapse risk, after the shock.</w:t>
            </w:r>
          </w:p>
          <w:p w14:paraId="569E6E2D"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p w14:paraId="72536641" w14:textId="16F59382"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The amount of TP shall be net of reinsurance and SPV recoverables.</w:t>
            </w:r>
          </w:p>
        </w:tc>
      </w:tr>
      <w:tr w:rsidR="00D27ADE" w:rsidRPr="001454DF" w14:paraId="7E911ED2" w14:textId="77777777" w:rsidTr="001454DF">
        <w:trPr>
          <w:trHeight w:val="753"/>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4619C5A" w14:textId="3C6B0E0A"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R1</w:t>
            </w:r>
            <w:r w:rsidR="00D5008F" w:rsidRPr="001454DF">
              <w:rPr>
                <w:rFonts w:ascii="Times New Roman" w:eastAsia="Times New Roman" w:hAnsi="Times New Roman" w:cs="Times New Roman"/>
                <w:sz w:val="20"/>
                <w:szCs w:val="20"/>
                <w:lang w:val="en-GB" w:eastAsia="es-ES"/>
              </w:rPr>
              <w:t>2</w:t>
            </w:r>
            <w:r w:rsidRPr="001454DF">
              <w:rPr>
                <w:rFonts w:ascii="Times New Roman" w:eastAsia="Times New Roman" w:hAnsi="Times New Roman" w:cs="Times New Roman"/>
                <w:sz w:val="20"/>
                <w:szCs w:val="20"/>
                <w:lang w:val="en-GB" w:eastAsia="es-ES"/>
              </w:rPr>
              <w:t>00/C02</w:t>
            </w:r>
            <w:r w:rsidR="00D5008F" w:rsidRPr="001454DF">
              <w:rPr>
                <w:rFonts w:ascii="Times New Roman" w:eastAsia="Times New Roman" w:hAnsi="Times New Roman" w:cs="Times New Roman"/>
                <w:sz w:val="20"/>
                <w:szCs w:val="20"/>
                <w:lang w:val="en-GB" w:eastAsia="es-ES"/>
              </w:rPr>
              <w:t>2</w:t>
            </w:r>
            <w:r w:rsidRPr="001454DF">
              <w:rPr>
                <w:rFonts w:ascii="Times New Roman" w:eastAsia="Times New Roman" w:hAnsi="Times New Roman" w:cs="Times New Roman"/>
                <w:sz w:val="20"/>
                <w:szCs w:val="20"/>
                <w:lang w:val="en-GB" w:eastAsia="es-ES"/>
              </w:rPr>
              <w:t>0</w:t>
            </w:r>
          </w:p>
          <w:p w14:paraId="1CEE2F89" w14:textId="23CFB637" w:rsidR="007A6C2F" w:rsidRPr="001454DF" w:rsidRDefault="007A6C2F">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(D18)</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78A255CF" w14:textId="19AEB840"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Absolute value after shock– Solvency capital requirement - Lapse risk </w:t>
            </w:r>
          </w:p>
        </w:tc>
        <w:tc>
          <w:tcPr>
            <w:tcW w:w="5297" w:type="dxa"/>
            <w:tcBorders>
              <w:top w:val="single" w:sz="4" w:space="0" w:color="auto"/>
              <w:left w:val="nil"/>
              <w:bottom w:val="single" w:sz="4" w:space="0" w:color="auto"/>
              <w:right w:val="single" w:sz="4" w:space="0" w:color="auto"/>
            </w:tcBorders>
            <w:shd w:val="clear" w:color="000000" w:fill="FFFFFF"/>
            <w:hideMark/>
          </w:tcPr>
          <w:p w14:paraId="06C2EB80" w14:textId="35269E7F"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capital charge for NSLT health lapse risk.</w:t>
            </w:r>
          </w:p>
          <w:p w14:paraId="456CEB71" w14:textId="684115FC"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tc>
      </w:tr>
      <w:tr w:rsidR="00D27ADE" w:rsidRPr="001454DF" w14:paraId="3BAF3257" w14:textId="77777777" w:rsidTr="001454DF">
        <w:trPr>
          <w:trHeight w:val="285"/>
        </w:trPr>
        <w:tc>
          <w:tcPr>
            <w:tcW w:w="1630" w:type="dxa"/>
            <w:vMerge w:val="restart"/>
            <w:tcBorders>
              <w:top w:val="nil"/>
              <w:left w:val="single" w:sz="4" w:space="0" w:color="auto"/>
              <w:bottom w:val="single" w:sz="4" w:space="0" w:color="auto"/>
              <w:right w:val="single" w:sz="4" w:space="0" w:color="auto"/>
            </w:tcBorders>
            <w:shd w:val="clear" w:color="000000" w:fill="FFFFFF"/>
          </w:tcPr>
          <w:p w14:paraId="4DEDCF9F" w14:textId="2AA3FC12"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R1</w:t>
            </w:r>
            <w:r w:rsidR="007A6C2F" w:rsidRPr="001454DF">
              <w:rPr>
                <w:rFonts w:ascii="Times New Roman" w:eastAsia="Times New Roman" w:hAnsi="Times New Roman" w:cs="Times New Roman"/>
                <w:sz w:val="20"/>
                <w:szCs w:val="20"/>
                <w:lang w:val="en-GB" w:eastAsia="es-ES"/>
              </w:rPr>
              <w:t>3</w:t>
            </w:r>
            <w:r w:rsidRPr="001454DF">
              <w:rPr>
                <w:rFonts w:ascii="Times New Roman" w:eastAsia="Times New Roman" w:hAnsi="Times New Roman" w:cs="Times New Roman"/>
                <w:sz w:val="20"/>
                <w:szCs w:val="20"/>
                <w:lang w:val="en-GB" w:eastAsia="es-ES"/>
              </w:rPr>
              <w:t>00</w:t>
            </w:r>
            <w:r w:rsidR="007A6C2F" w:rsidRPr="001454DF">
              <w:rPr>
                <w:rFonts w:ascii="Times New Roman" w:eastAsia="Times New Roman" w:hAnsi="Times New Roman" w:cs="Times New Roman"/>
                <w:sz w:val="20"/>
                <w:szCs w:val="20"/>
                <w:lang w:val="en-GB" w:eastAsia="es-ES"/>
              </w:rPr>
              <w:t>/</w:t>
            </w:r>
            <w:r w:rsidRPr="001454DF">
              <w:rPr>
                <w:rFonts w:ascii="Times New Roman" w:eastAsia="Times New Roman" w:hAnsi="Times New Roman" w:cs="Times New Roman"/>
                <w:sz w:val="20"/>
                <w:szCs w:val="20"/>
                <w:lang w:val="en-GB" w:eastAsia="es-ES"/>
              </w:rPr>
              <w:t>C02</w:t>
            </w:r>
            <w:r w:rsidR="00D5008F" w:rsidRPr="001454DF">
              <w:rPr>
                <w:rFonts w:ascii="Times New Roman" w:eastAsia="Times New Roman" w:hAnsi="Times New Roman" w:cs="Times New Roman"/>
                <w:sz w:val="20"/>
                <w:szCs w:val="20"/>
                <w:lang w:val="en-GB" w:eastAsia="es-ES"/>
              </w:rPr>
              <w:t>3</w:t>
            </w:r>
            <w:r w:rsidRPr="001454DF">
              <w:rPr>
                <w:rFonts w:ascii="Times New Roman" w:eastAsia="Times New Roman" w:hAnsi="Times New Roman" w:cs="Times New Roman"/>
                <w:sz w:val="20"/>
                <w:szCs w:val="20"/>
                <w:lang w:val="en-GB" w:eastAsia="es-ES"/>
              </w:rPr>
              <w:t>0</w:t>
            </w:r>
          </w:p>
          <w:p w14:paraId="380A1A64" w14:textId="1CF13723" w:rsidR="007A6C2F" w:rsidRPr="001454DF" w:rsidRDefault="007A6C2F">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(D19)</w:t>
            </w:r>
          </w:p>
        </w:tc>
        <w:tc>
          <w:tcPr>
            <w:tcW w:w="2531" w:type="dxa"/>
            <w:vMerge w:val="restart"/>
            <w:tcBorders>
              <w:top w:val="nil"/>
              <w:left w:val="single" w:sz="4" w:space="0" w:color="auto"/>
              <w:bottom w:val="single" w:sz="4" w:space="0" w:color="auto"/>
              <w:right w:val="single" w:sz="4" w:space="0" w:color="auto"/>
            </w:tcBorders>
            <w:shd w:val="clear" w:color="000000" w:fill="FFFFFF"/>
            <w:hideMark/>
          </w:tcPr>
          <w:p w14:paraId="76A33A14" w14:textId="700A00A0"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Diversification within NSLT health underwriting risk - gross</w:t>
            </w:r>
          </w:p>
        </w:tc>
        <w:tc>
          <w:tcPr>
            <w:tcW w:w="5297"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72450551" w14:textId="4AC6DBE8"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diversification effect within the NSLT health underwriting risk sub-module, as a result of the aggregation of the capital requirements for NSLT health premium and reserve risk and NSLT health lapse risk.</w:t>
            </w:r>
          </w:p>
          <w:p w14:paraId="12A0412D" w14:textId="77777777" w:rsidR="007A6C2F" w:rsidRPr="001454DF" w:rsidRDefault="007A6C2F" w:rsidP="007A6C2F">
            <w:pPr>
              <w:spacing w:after="0" w:line="240" w:lineRule="auto"/>
              <w:rPr>
                <w:rFonts w:ascii="Times New Roman" w:eastAsia="Times New Roman" w:hAnsi="Times New Roman" w:cs="Times New Roman"/>
                <w:sz w:val="20"/>
                <w:szCs w:val="20"/>
                <w:lang w:val="en-GB" w:eastAsia="es-ES"/>
              </w:rPr>
            </w:pPr>
          </w:p>
          <w:p w14:paraId="5CE9DBC0" w14:textId="5A28A88D" w:rsidR="007A6C2F" w:rsidRPr="001454DF" w:rsidRDefault="007A6C2F" w:rsidP="007A6C2F">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Diversification shall be reported as a negative value</w:t>
            </w:r>
            <w:r w:rsidR="00FB7533" w:rsidRPr="001454DF">
              <w:rPr>
                <w:rFonts w:ascii="Times New Roman" w:eastAsia="Times New Roman" w:hAnsi="Times New Roman" w:cs="Times New Roman"/>
                <w:sz w:val="20"/>
                <w:szCs w:val="20"/>
                <w:lang w:val="en-GB" w:eastAsia="es-ES"/>
              </w:rPr>
              <w:t xml:space="preserve"> if they reduce the capital requirement</w:t>
            </w:r>
            <w:r w:rsidRPr="001454DF">
              <w:rPr>
                <w:rFonts w:ascii="Times New Roman" w:eastAsia="Times New Roman" w:hAnsi="Times New Roman" w:cs="Times New Roman"/>
                <w:sz w:val="20"/>
                <w:szCs w:val="20"/>
                <w:lang w:val="en-GB" w:eastAsia="es-ES"/>
              </w:rPr>
              <w:t>.</w:t>
            </w:r>
          </w:p>
          <w:p w14:paraId="6EF8039B" w14:textId="77777777" w:rsidR="007A6C2F" w:rsidRPr="001454DF" w:rsidRDefault="007A6C2F">
            <w:pPr>
              <w:spacing w:after="0" w:line="240" w:lineRule="auto"/>
              <w:rPr>
                <w:rFonts w:ascii="Times New Roman" w:eastAsia="Times New Roman" w:hAnsi="Times New Roman" w:cs="Times New Roman"/>
                <w:sz w:val="20"/>
                <w:szCs w:val="20"/>
                <w:lang w:val="en-GB" w:eastAsia="es-ES"/>
              </w:rPr>
            </w:pPr>
          </w:p>
        </w:tc>
      </w:tr>
      <w:tr w:rsidR="00D27ADE" w:rsidRPr="001454DF" w14:paraId="5C0FE659" w14:textId="77777777" w:rsidTr="001454DF">
        <w:trPr>
          <w:trHeight w:val="420"/>
        </w:trPr>
        <w:tc>
          <w:tcPr>
            <w:tcW w:w="1630" w:type="dxa"/>
            <w:vMerge/>
            <w:tcBorders>
              <w:top w:val="nil"/>
              <w:left w:val="single" w:sz="4" w:space="0" w:color="auto"/>
              <w:bottom w:val="single" w:sz="4" w:space="0" w:color="auto"/>
              <w:right w:val="single" w:sz="4" w:space="0" w:color="auto"/>
            </w:tcBorders>
            <w:vAlign w:val="center"/>
          </w:tcPr>
          <w:p w14:paraId="4B2B1623"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tc>
        <w:tc>
          <w:tcPr>
            <w:tcW w:w="2531" w:type="dxa"/>
            <w:vMerge/>
            <w:tcBorders>
              <w:top w:val="nil"/>
              <w:left w:val="single" w:sz="4" w:space="0" w:color="auto"/>
              <w:bottom w:val="single" w:sz="4" w:space="0" w:color="auto"/>
              <w:right w:val="single" w:sz="4" w:space="0" w:color="auto"/>
            </w:tcBorders>
            <w:vAlign w:val="center"/>
            <w:hideMark/>
          </w:tcPr>
          <w:p w14:paraId="4EFD1115"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tc>
        <w:tc>
          <w:tcPr>
            <w:tcW w:w="5297" w:type="dxa"/>
            <w:vMerge/>
            <w:tcBorders>
              <w:top w:val="single" w:sz="4" w:space="0" w:color="auto"/>
              <w:left w:val="single" w:sz="4" w:space="0" w:color="auto"/>
              <w:bottom w:val="single" w:sz="4" w:space="0" w:color="000000"/>
              <w:right w:val="single" w:sz="4" w:space="0" w:color="auto"/>
            </w:tcBorders>
            <w:vAlign w:val="center"/>
            <w:hideMark/>
          </w:tcPr>
          <w:p w14:paraId="5D8540B2" w14:textId="77777777" w:rsidR="00D27ADE" w:rsidRPr="001454DF" w:rsidRDefault="00D27ADE" w:rsidP="001454DF">
            <w:pPr>
              <w:spacing w:after="0" w:line="240" w:lineRule="auto"/>
              <w:ind w:left="239"/>
              <w:rPr>
                <w:rFonts w:ascii="Times New Roman" w:eastAsia="Times New Roman" w:hAnsi="Times New Roman" w:cs="Times New Roman"/>
                <w:sz w:val="20"/>
                <w:szCs w:val="20"/>
                <w:lang w:val="en-GB" w:eastAsia="es-ES"/>
              </w:rPr>
            </w:pPr>
          </w:p>
        </w:tc>
      </w:tr>
      <w:tr w:rsidR="00D27ADE" w:rsidRPr="001454DF" w14:paraId="2B64A661" w14:textId="77777777" w:rsidTr="001454DF">
        <w:trPr>
          <w:trHeight w:val="836"/>
        </w:trPr>
        <w:tc>
          <w:tcPr>
            <w:tcW w:w="1630" w:type="dxa"/>
            <w:tcBorders>
              <w:top w:val="nil"/>
              <w:left w:val="single" w:sz="4" w:space="0" w:color="auto"/>
              <w:bottom w:val="single" w:sz="4" w:space="0" w:color="auto"/>
              <w:right w:val="single" w:sz="4" w:space="0" w:color="auto"/>
            </w:tcBorders>
            <w:shd w:val="clear" w:color="000000" w:fill="FFFFFF"/>
          </w:tcPr>
          <w:p w14:paraId="0129DD78" w14:textId="103539BF"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R1</w:t>
            </w:r>
            <w:r w:rsidR="007A6C2F" w:rsidRPr="001454DF">
              <w:rPr>
                <w:rFonts w:ascii="Times New Roman" w:eastAsia="Times New Roman" w:hAnsi="Times New Roman" w:cs="Times New Roman"/>
                <w:sz w:val="20"/>
                <w:szCs w:val="20"/>
                <w:lang w:val="en-GB" w:eastAsia="es-ES"/>
              </w:rPr>
              <w:t>4</w:t>
            </w:r>
            <w:r w:rsidRPr="001454DF">
              <w:rPr>
                <w:rFonts w:ascii="Times New Roman" w:eastAsia="Times New Roman" w:hAnsi="Times New Roman" w:cs="Times New Roman"/>
                <w:sz w:val="20"/>
                <w:szCs w:val="20"/>
                <w:lang w:val="en-GB" w:eastAsia="es-ES"/>
              </w:rPr>
              <w:t>00/C02</w:t>
            </w:r>
            <w:r w:rsidR="00D5008F" w:rsidRPr="001454DF">
              <w:rPr>
                <w:rFonts w:ascii="Times New Roman" w:eastAsia="Times New Roman" w:hAnsi="Times New Roman" w:cs="Times New Roman"/>
                <w:sz w:val="20"/>
                <w:szCs w:val="20"/>
                <w:lang w:val="en-GB" w:eastAsia="es-ES"/>
              </w:rPr>
              <w:t>3</w:t>
            </w:r>
            <w:r w:rsidRPr="001454DF">
              <w:rPr>
                <w:rFonts w:ascii="Times New Roman" w:eastAsia="Times New Roman" w:hAnsi="Times New Roman" w:cs="Times New Roman"/>
                <w:sz w:val="20"/>
                <w:szCs w:val="20"/>
                <w:lang w:val="en-GB" w:eastAsia="es-ES"/>
              </w:rPr>
              <w:t>0</w:t>
            </w:r>
          </w:p>
          <w:p w14:paraId="17950A4C" w14:textId="364272B7" w:rsidR="007A6C2F" w:rsidRPr="001454DF" w:rsidRDefault="007A6C2F">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(D20)</w:t>
            </w:r>
          </w:p>
        </w:tc>
        <w:tc>
          <w:tcPr>
            <w:tcW w:w="2531" w:type="dxa"/>
            <w:tcBorders>
              <w:top w:val="nil"/>
              <w:left w:val="nil"/>
              <w:bottom w:val="single" w:sz="4" w:space="0" w:color="auto"/>
              <w:right w:val="single" w:sz="4" w:space="0" w:color="auto"/>
            </w:tcBorders>
            <w:shd w:val="clear" w:color="000000" w:fill="FFFFFF"/>
            <w:hideMark/>
          </w:tcPr>
          <w:p w14:paraId="4BB8D0E9" w14:textId="39F525A0"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Total solvency capital requirement  for  NSLT health underwriting</w:t>
            </w:r>
          </w:p>
        </w:tc>
        <w:tc>
          <w:tcPr>
            <w:tcW w:w="5297" w:type="dxa"/>
            <w:tcBorders>
              <w:top w:val="nil"/>
              <w:left w:val="nil"/>
              <w:bottom w:val="single" w:sz="4" w:space="0" w:color="auto"/>
              <w:right w:val="single" w:sz="4" w:space="0" w:color="auto"/>
            </w:tcBorders>
            <w:shd w:val="clear" w:color="000000" w:fill="FFFFFF"/>
            <w:hideMark/>
          </w:tcPr>
          <w:p w14:paraId="0C33698B" w14:textId="42B8F680"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total capital charge for the NSLT health underwriting risk sub module.</w:t>
            </w:r>
          </w:p>
        </w:tc>
      </w:tr>
      <w:tr w:rsidR="00D27ADE" w:rsidRPr="001454DF" w14:paraId="3B73AC83" w14:textId="77777777" w:rsidTr="001454DF">
        <w:trPr>
          <w:trHeight w:val="285"/>
        </w:trPr>
        <w:tc>
          <w:tcPr>
            <w:tcW w:w="9458" w:type="dxa"/>
            <w:gridSpan w:val="3"/>
            <w:tcBorders>
              <w:top w:val="nil"/>
              <w:left w:val="nil"/>
              <w:bottom w:val="nil"/>
              <w:right w:val="nil"/>
            </w:tcBorders>
            <w:shd w:val="clear" w:color="000000" w:fill="FFFFFF"/>
          </w:tcPr>
          <w:p w14:paraId="13048251" w14:textId="77777777" w:rsidR="00D27ADE" w:rsidRPr="001454DF" w:rsidRDefault="00D27ADE" w:rsidP="001454DF">
            <w:pPr>
              <w:spacing w:after="0" w:line="240" w:lineRule="auto"/>
              <w:ind w:left="239"/>
              <w:rPr>
                <w:rFonts w:ascii="Times New Roman" w:eastAsia="Times New Roman" w:hAnsi="Times New Roman" w:cs="Times New Roman"/>
                <w:b/>
                <w:bCs/>
                <w:sz w:val="20"/>
                <w:szCs w:val="20"/>
                <w:lang w:val="en-GB" w:eastAsia="es-ES"/>
              </w:rPr>
            </w:pPr>
          </w:p>
          <w:p w14:paraId="7146929E" w14:textId="4CD568D0" w:rsidR="00D27ADE" w:rsidRPr="001454DF" w:rsidRDefault="007A6C2F" w:rsidP="001454DF">
            <w:pPr>
              <w:spacing w:after="0" w:line="240" w:lineRule="auto"/>
              <w:ind w:left="239"/>
              <w:rPr>
                <w:rFonts w:ascii="Times New Roman" w:eastAsia="Times New Roman" w:hAnsi="Times New Roman" w:cs="Times New Roman"/>
                <w:b/>
                <w:bCs/>
                <w:sz w:val="20"/>
                <w:szCs w:val="20"/>
                <w:lang w:val="en-GB" w:eastAsia="es-ES"/>
              </w:rPr>
            </w:pPr>
            <w:r w:rsidRPr="001454DF">
              <w:rPr>
                <w:rFonts w:ascii="Times New Roman" w:eastAsia="Times New Roman" w:hAnsi="Times New Roman" w:cs="Times New Roman"/>
                <w:b/>
                <w:bCs/>
                <w:sz w:val="20"/>
                <w:szCs w:val="20"/>
                <w:lang w:val="en-GB" w:eastAsia="es-ES"/>
              </w:rPr>
              <w:t>Health catastrophe risk</w:t>
            </w:r>
          </w:p>
        </w:tc>
      </w:tr>
      <w:tr w:rsidR="00D27ADE" w:rsidRPr="001454DF" w14:paraId="3AB64255" w14:textId="77777777" w:rsidTr="001454DF">
        <w:trPr>
          <w:trHeight w:val="1119"/>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A59F838" w14:textId="2FD59FFA"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R1</w:t>
            </w:r>
            <w:r w:rsidR="007A6C2F" w:rsidRPr="001454DF">
              <w:rPr>
                <w:rFonts w:ascii="Times New Roman" w:eastAsia="Times New Roman" w:hAnsi="Times New Roman" w:cs="Times New Roman"/>
                <w:sz w:val="20"/>
                <w:szCs w:val="20"/>
                <w:lang w:val="en-GB" w:eastAsia="es-ES"/>
              </w:rPr>
              <w:t>5</w:t>
            </w:r>
            <w:r w:rsidRPr="001454DF">
              <w:rPr>
                <w:rFonts w:ascii="Times New Roman" w:eastAsia="Times New Roman" w:hAnsi="Times New Roman" w:cs="Times New Roman"/>
                <w:sz w:val="20"/>
                <w:szCs w:val="20"/>
                <w:lang w:val="en-GB" w:eastAsia="es-ES"/>
              </w:rPr>
              <w:t>00/C02</w:t>
            </w:r>
            <w:r w:rsidR="00D5008F" w:rsidRPr="001454DF">
              <w:rPr>
                <w:rFonts w:ascii="Times New Roman" w:eastAsia="Times New Roman" w:hAnsi="Times New Roman" w:cs="Times New Roman"/>
                <w:sz w:val="20"/>
                <w:szCs w:val="20"/>
                <w:lang w:val="en-GB" w:eastAsia="es-ES"/>
              </w:rPr>
              <w:t>4</w:t>
            </w:r>
            <w:r w:rsidRPr="001454DF">
              <w:rPr>
                <w:rFonts w:ascii="Times New Roman" w:eastAsia="Times New Roman" w:hAnsi="Times New Roman" w:cs="Times New Roman"/>
                <w:sz w:val="20"/>
                <w:szCs w:val="20"/>
                <w:lang w:val="en-GB" w:eastAsia="es-ES"/>
              </w:rPr>
              <w:t>0</w:t>
            </w:r>
          </w:p>
          <w:p w14:paraId="78F62D7C" w14:textId="4D539F67" w:rsidR="007A6C2F" w:rsidRPr="001454DF" w:rsidRDefault="007A6C2F">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(B21)</w:t>
            </w:r>
          </w:p>
        </w:tc>
        <w:tc>
          <w:tcPr>
            <w:tcW w:w="2531" w:type="dxa"/>
            <w:tcBorders>
              <w:top w:val="single" w:sz="4" w:space="0" w:color="auto"/>
              <w:left w:val="nil"/>
              <w:bottom w:val="single" w:sz="4" w:space="0" w:color="auto"/>
              <w:right w:val="single" w:sz="4" w:space="0" w:color="auto"/>
            </w:tcBorders>
            <w:shd w:val="clear" w:color="000000" w:fill="FFFFFF"/>
            <w:hideMark/>
          </w:tcPr>
          <w:p w14:paraId="173BF705" w14:textId="4CD80635"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Net solvency  capital requirement for health catastrophe risks - Mass accident risk sub module</w:t>
            </w:r>
          </w:p>
        </w:tc>
        <w:tc>
          <w:tcPr>
            <w:tcW w:w="5297" w:type="dxa"/>
            <w:tcBorders>
              <w:top w:val="single" w:sz="4" w:space="0" w:color="auto"/>
              <w:left w:val="nil"/>
              <w:bottom w:val="single" w:sz="4" w:space="0" w:color="auto"/>
              <w:right w:val="single" w:sz="4" w:space="0" w:color="auto"/>
            </w:tcBorders>
            <w:shd w:val="clear" w:color="000000" w:fill="FFFFFF"/>
            <w:hideMark/>
          </w:tcPr>
          <w:p w14:paraId="72802FCA" w14:textId="1672FFD7"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The net solvency capital requirement for the mass risk sub-module calculated after loss absorbing capacity of technical provisions</w:t>
            </w:r>
          </w:p>
        </w:tc>
      </w:tr>
      <w:tr w:rsidR="00D27ADE" w:rsidRPr="001454DF" w14:paraId="69DBC73D" w14:textId="77777777" w:rsidTr="00FB7533">
        <w:trPr>
          <w:trHeight w:val="1108"/>
        </w:trPr>
        <w:tc>
          <w:tcPr>
            <w:tcW w:w="1630" w:type="dxa"/>
            <w:tcBorders>
              <w:top w:val="nil"/>
              <w:left w:val="single" w:sz="4" w:space="0" w:color="auto"/>
              <w:bottom w:val="single" w:sz="4" w:space="0" w:color="auto"/>
              <w:right w:val="single" w:sz="4" w:space="0" w:color="auto"/>
            </w:tcBorders>
            <w:shd w:val="clear" w:color="000000" w:fill="FFFFFF"/>
          </w:tcPr>
          <w:p w14:paraId="62E0230A" w14:textId="79F60A7F"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R1</w:t>
            </w:r>
            <w:r w:rsidR="007A6C2F" w:rsidRPr="001454DF">
              <w:rPr>
                <w:rFonts w:ascii="Times New Roman" w:eastAsia="Times New Roman" w:hAnsi="Times New Roman" w:cs="Times New Roman"/>
                <w:sz w:val="20"/>
                <w:szCs w:val="20"/>
                <w:lang w:val="en-GB" w:eastAsia="es-ES"/>
              </w:rPr>
              <w:t>5</w:t>
            </w:r>
            <w:r w:rsidRPr="001454DF">
              <w:rPr>
                <w:rFonts w:ascii="Times New Roman" w:eastAsia="Times New Roman" w:hAnsi="Times New Roman" w:cs="Times New Roman"/>
                <w:sz w:val="20"/>
                <w:szCs w:val="20"/>
                <w:lang w:val="en-GB" w:eastAsia="es-ES"/>
              </w:rPr>
              <w:t>00/C02</w:t>
            </w:r>
            <w:r w:rsidR="00D5008F" w:rsidRPr="001454DF">
              <w:rPr>
                <w:rFonts w:ascii="Times New Roman" w:eastAsia="Times New Roman" w:hAnsi="Times New Roman" w:cs="Times New Roman"/>
                <w:sz w:val="20"/>
                <w:szCs w:val="20"/>
                <w:lang w:val="en-GB" w:eastAsia="es-ES"/>
              </w:rPr>
              <w:t>5</w:t>
            </w:r>
            <w:r w:rsidRPr="001454DF">
              <w:rPr>
                <w:rFonts w:ascii="Times New Roman" w:eastAsia="Times New Roman" w:hAnsi="Times New Roman" w:cs="Times New Roman"/>
                <w:sz w:val="20"/>
                <w:szCs w:val="20"/>
                <w:lang w:val="en-GB" w:eastAsia="es-ES"/>
              </w:rPr>
              <w:t>0</w:t>
            </w:r>
          </w:p>
          <w:p w14:paraId="0597EE3E" w14:textId="4E3D4B80" w:rsidR="007A6C2F" w:rsidRPr="001454DF" w:rsidRDefault="007A6C2F">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(A21)</w:t>
            </w:r>
          </w:p>
        </w:tc>
        <w:tc>
          <w:tcPr>
            <w:tcW w:w="2531" w:type="dxa"/>
            <w:tcBorders>
              <w:top w:val="nil"/>
              <w:left w:val="nil"/>
              <w:bottom w:val="single" w:sz="4" w:space="0" w:color="auto"/>
              <w:right w:val="single" w:sz="4" w:space="0" w:color="auto"/>
            </w:tcBorders>
            <w:shd w:val="clear" w:color="000000" w:fill="FFFFFF"/>
            <w:hideMark/>
          </w:tcPr>
          <w:p w14:paraId="309B7EB7" w14:textId="20895632"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Gross solvency capital requirement for health catastrophe risks - Mass accident risk sub module</w:t>
            </w:r>
          </w:p>
        </w:tc>
        <w:tc>
          <w:tcPr>
            <w:tcW w:w="5297" w:type="dxa"/>
            <w:tcBorders>
              <w:top w:val="nil"/>
              <w:left w:val="nil"/>
              <w:bottom w:val="single" w:sz="4" w:space="0" w:color="auto"/>
              <w:right w:val="single" w:sz="4" w:space="0" w:color="auto"/>
            </w:tcBorders>
            <w:shd w:val="clear" w:color="000000" w:fill="FFFFFF"/>
            <w:hideMark/>
          </w:tcPr>
          <w:p w14:paraId="2D5C5C4E" w14:textId="4FBC8212" w:rsidR="007972A5"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The gross solvency capital requirement for the mass risk sub-module, calculated before loss absorbing capacity of technical provisions. </w:t>
            </w:r>
          </w:p>
          <w:p w14:paraId="5859032D" w14:textId="28880AE5" w:rsidR="00D27ADE" w:rsidRPr="001454DF" w:rsidRDefault="00D27ADE" w:rsidP="00FB7533">
            <w:pPr>
              <w:spacing w:after="0" w:line="240" w:lineRule="auto"/>
              <w:ind w:left="22"/>
              <w:rPr>
                <w:rFonts w:ascii="Times New Roman" w:eastAsia="Times New Roman" w:hAnsi="Times New Roman" w:cs="Times New Roman"/>
                <w:sz w:val="20"/>
                <w:szCs w:val="20"/>
                <w:lang w:val="en-GB" w:eastAsia="es-ES"/>
              </w:rPr>
            </w:pPr>
          </w:p>
        </w:tc>
      </w:tr>
      <w:tr w:rsidR="00D27ADE" w:rsidRPr="001454DF" w14:paraId="19931584" w14:textId="77777777" w:rsidTr="001454DF">
        <w:trPr>
          <w:trHeight w:val="982"/>
        </w:trPr>
        <w:tc>
          <w:tcPr>
            <w:tcW w:w="1630" w:type="dxa"/>
            <w:tcBorders>
              <w:top w:val="nil"/>
              <w:left w:val="single" w:sz="4" w:space="0" w:color="auto"/>
              <w:bottom w:val="single" w:sz="4" w:space="0" w:color="auto"/>
              <w:right w:val="single" w:sz="4" w:space="0" w:color="auto"/>
            </w:tcBorders>
            <w:shd w:val="clear" w:color="000000" w:fill="FFFFFF"/>
          </w:tcPr>
          <w:p w14:paraId="3A56CCC8" w14:textId="064D8C14"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R1</w:t>
            </w:r>
            <w:r w:rsidR="007A6C2F" w:rsidRPr="001454DF">
              <w:rPr>
                <w:rFonts w:ascii="Times New Roman" w:eastAsia="Times New Roman" w:hAnsi="Times New Roman" w:cs="Times New Roman"/>
                <w:sz w:val="20"/>
                <w:szCs w:val="20"/>
                <w:lang w:val="en-GB" w:eastAsia="es-ES"/>
              </w:rPr>
              <w:t>5</w:t>
            </w:r>
            <w:r w:rsidRPr="001454DF">
              <w:rPr>
                <w:rFonts w:ascii="Times New Roman" w:eastAsia="Times New Roman" w:hAnsi="Times New Roman" w:cs="Times New Roman"/>
                <w:sz w:val="20"/>
                <w:szCs w:val="20"/>
                <w:lang w:val="en-GB" w:eastAsia="es-ES"/>
              </w:rPr>
              <w:t>10/C02</w:t>
            </w:r>
            <w:r w:rsidR="00D5008F" w:rsidRPr="001454DF">
              <w:rPr>
                <w:rFonts w:ascii="Times New Roman" w:eastAsia="Times New Roman" w:hAnsi="Times New Roman" w:cs="Times New Roman"/>
                <w:sz w:val="20"/>
                <w:szCs w:val="20"/>
                <w:lang w:val="en-GB" w:eastAsia="es-ES"/>
              </w:rPr>
              <w:t>4</w:t>
            </w:r>
            <w:r w:rsidRPr="001454DF">
              <w:rPr>
                <w:rFonts w:ascii="Times New Roman" w:eastAsia="Times New Roman" w:hAnsi="Times New Roman" w:cs="Times New Roman"/>
                <w:sz w:val="20"/>
                <w:szCs w:val="20"/>
                <w:lang w:val="en-GB" w:eastAsia="es-ES"/>
              </w:rPr>
              <w:t>0</w:t>
            </w:r>
          </w:p>
          <w:p w14:paraId="4F95B8A0" w14:textId="7FCB7FAC" w:rsidR="007A6C2F" w:rsidRPr="001454DF" w:rsidRDefault="007A6C2F">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(B22)</w:t>
            </w:r>
          </w:p>
        </w:tc>
        <w:tc>
          <w:tcPr>
            <w:tcW w:w="2531" w:type="dxa"/>
            <w:tcBorders>
              <w:top w:val="nil"/>
              <w:left w:val="nil"/>
              <w:bottom w:val="single" w:sz="4" w:space="0" w:color="auto"/>
              <w:right w:val="single" w:sz="4" w:space="0" w:color="auto"/>
            </w:tcBorders>
            <w:shd w:val="clear" w:color="000000" w:fill="FFFFFF"/>
            <w:hideMark/>
          </w:tcPr>
          <w:p w14:paraId="3DD8B255" w14:textId="50F01CC1"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Net solvency  capital requirement for health catastrophe risks - Accident concentration risk</w:t>
            </w:r>
          </w:p>
        </w:tc>
        <w:tc>
          <w:tcPr>
            <w:tcW w:w="5297" w:type="dxa"/>
            <w:tcBorders>
              <w:top w:val="nil"/>
              <w:left w:val="nil"/>
              <w:bottom w:val="single" w:sz="4" w:space="0" w:color="auto"/>
              <w:right w:val="single" w:sz="4" w:space="0" w:color="auto"/>
            </w:tcBorders>
            <w:shd w:val="clear" w:color="000000" w:fill="FFFFFF"/>
            <w:hideMark/>
          </w:tcPr>
          <w:p w14:paraId="3D3E4969" w14:textId="268BFC98"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The net solvency capital requirement for the accident concentration risk sub-module, calculated after loss absorbing capacity of technical provisions</w:t>
            </w:r>
          </w:p>
        </w:tc>
      </w:tr>
      <w:tr w:rsidR="00D27ADE" w:rsidRPr="001454DF" w14:paraId="6D1E9F94" w14:textId="77777777" w:rsidTr="001454DF">
        <w:trPr>
          <w:trHeight w:val="708"/>
        </w:trPr>
        <w:tc>
          <w:tcPr>
            <w:tcW w:w="1630" w:type="dxa"/>
            <w:tcBorders>
              <w:top w:val="nil"/>
              <w:left w:val="single" w:sz="4" w:space="0" w:color="auto"/>
              <w:bottom w:val="single" w:sz="4" w:space="0" w:color="auto"/>
              <w:right w:val="single" w:sz="4" w:space="0" w:color="auto"/>
            </w:tcBorders>
            <w:shd w:val="clear" w:color="000000" w:fill="FFFFFF"/>
          </w:tcPr>
          <w:p w14:paraId="1BB2EF79" w14:textId="2CA5794D"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R1</w:t>
            </w:r>
            <w:r w:rsidR="007A6C2F" w:rsidRPr="001454DF">
              <w:rPr>
                <w:rFonts w:ascii="Times New Roman" w:eastAsia="Times New Roman" w:hAnsi="Times New Roman" w:cs="Times New Roman"/>
                <w:sz w:val="20"/>
                <w:szCs w:val="20"/>
                <w:lang w:val="en-GB" w:eastAsia="es-ES"/>
              </w:rPr>
              <w:t>5</w:t>
            </w:r>
            <w:r w:rsidRPr="001454DF">
              <w:rPr>
                <w:rFonts w:ascii="Times New Roman" w:eastAsia="Times New Roman" w:hAnsi="Times New Roman" w:cs="Times New Roman"/>
                <w:sz w:val="20"/>
                <w:szCs w:val="20"/>
                <w:lang w:val="en-GB" w:eastAsia="es-ES"/>
              </w:rPr>
              <w:t>10/C02</w:t>
            </w:r>
            <w:r w:rsidR="00D5008F" w:rsidRPr="001454DF">
              <w:rPr>
                <w:rFonts w:ascii="Times New Roman" w:eastAsia="Times New Roman" w:hAnsi="Times New Roman" w:cs="Times New Roman"/>
                <w:sz w:val="20"/>
                <w:szCs w:val="20"/>
                <w:lang w:val="en-GB" w:eastAsia="es-ES"/>
              </w:rPr>
              <w:t>5</w:t>
            </w:r>
            <w:r w:rsidRPr="001454DF">
              <w:rPr>
                <w:rFonts w:ascii="Times New Roman" w:eastAsia="Times New Roman" w:hAnsi="Times New Roman" w:cs="Times New Roman"/>
                <w:sz w:val="20"/>
                <w:szCs w:val="20"/>
                <w:lang w:val="en-GB" w:eastAsia="es-ES"/>
              </w:rPr>
              <w:t>0</w:t>
            </w:r>
          </w:p>
          <w:p w14:paraId="6012C3B8" w14:textId="38AAE4C6" w:rsidR="007A6C2F" w:rsidRPr="001454DF" w:rsidRDefault="007A6C2F">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(A22)</w:t>
            </w:r>
          </w:p>
        </w:tc>
        <w:tc>
          <w:tcPr>
            <w:tcW w:w="2531" w:type="dxa"/>
            <w:tcBorders>
              <w:top w:val="nil"/>
              <w:left w:val="nil"/>
              <w:bottom w:val="single" w:sz="4" w:space="0" w:color="auto"/>
              <w:right w:val="single" w:sz="4" w:space="0" w:color="auto"/>
            </w:tcBorders>
            <w:shd w:val="clear" w:color="000000" w:fill="FFFFFF"/>
            <w:hideMark/>
          </w:tcPr>
          <w:p w14:paraId="4AEB507F" w14:textId="63C73D80"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Gross solvency capital requirement for health catastrophe risks- Accident concentration risk</w:t>
            </w:r>
          </w:p>
        </w:tc>
        <w:tc>
          <w:tcPr>
            <w:tcW w:w="5297" w:type="dxa"/>
            <w:tcBorders>
              <w:top w:val="nil"/>
              <w:left w:val="nil"/>
              <w:bottom w:val="single" w:sz="4" w:space="0" w:color="auto"/>
              <w:right w:val="single" w:sz="4" w:space="0" w:color="auto"/>
            </w:tcBorders>
            <w:shd w:val="clear" w:color="000000" w:fill="FFFFFF"/>
            <w:hideMark/>
          </w:tcPr>
          <w:p w14:paraId="67336E64" w14:textId="6D8F462B" w:rsidR="007972A5"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The gross solvency capital requirement for the accident concentration risk sub-module calculated before loss absorbing capacity of technical provisions.  </w:t>
            </w:r>
          </w:p>
          <w:p w14:paraId="407BEC22" w14:textId="55A134AE"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p>
        </w:tc>
      </w:tr>
      <w:tr w:rsidR="00D27ADE" w:rsidRPr="001454DF" w14:paraId="12A15449" w14:textId="77777777" w:rsidTr="001454DF">
        <w:trPr>
          <w:trHeight w:val="1053"/>
        </w:trPr>
        <w:tc>
          <w:tcPr>
            <w:tcW w:w="1630" w:type="dxa"/>
            <w:tcBorders>
              <w:top w:val="nil"/>
              <w:left w:val="single" w:sz="4" w:space="0" w:color="auto"/>
              <w:bottom w:val="single" w:sz="4" w:space="0" w:color="auto"/>
              <w:right w:val="single" w:sz="4" w:space="0" w:color="auto"/>
            </w:tcBorders>
            <w:shd w:val="clear" w:color="000000" w:fill="FFFFFF"/>
          </w:tcPr>
          <w:p w14:paraId="1DCD69C0" w14:textId="469EC43A"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R1</w:t>
            </w:r>
            <w:r w:rsidR="00326251" w:rsidRPr="001454DF">
              <w:rPr>
                <w:rFonts w:ascii="Times New Roman" w:eastAsia="Times New Roman" w:hAnsi="Times New Roman" w:cs="Times New Roman"/>
                <w:sz w:val="20"/>
                <w:szCs w:val="20"/>
                <w:lang w:val="en-GB" w:eastAsia="es-ES"/>
              </w:rPr>
              <w:t>5</w:t>
            </w:r>
            <w:r w:rsidRPr="001454DF">
              <w:rPr>
                <w:rFonts w:ascii="Times New Roman" w:eastAsia="Times New Roman" w:hAnsi="Times New Roman" w:cs="Times New Roman"/>
                <w:sz w:val="20"/>
                <w:szCs w:val="20"/>
                <w:lang w:val="en-GB" w:eastAsia="es-ES"/>
              </w:rPr>
              <w:t>20/C02</w:t>
            </w:r>
            <w:r w:rsidR="00D5008F" w:rsidRPr="001454DF">
              <w:rPr>
                <w:rFonts w:ascii="Times New Roman" w:eastAsia="Times New Roman" w:hAnsi="Times New Roman" w:cs="Times New Roman"/>
                <w:sz w:val="20"/>
                <w:szCs w:val="20"/>
                <w:lang w:val="en-GB" w:eastAsia="es-ES"/>
              </w:rPr>
              <w:t>4</w:t>
            </w:r>
            <w:r w:rsidRPr="001454DF">
              <w:rPr>
                <w:rFonts w:ascii="Times New Roman" w:eastAsia="Times New Roman" w:hAnsi="Times New Roman" w:cs="Times New Roman"/>
                <w:sz w:val="20"/>
                <w:szCs w:val="20"/>
                <w:lang w:val="en-GB" w:eastAsia="es-ES"/>
              </w:rPr>
              <w:t>0</w:t>
            </w:r>
          </w:p>
          <w:p w14:paraId="4B21B2E3" w14:textId="04B52B13" w:rsidR="00326251" w:rsidRPr="001454DF" w:rsidRDefault="00326251">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(B23)</w:t>
            </w:r>
          </w:p>
        </w:tc>
        <w:tc>
          <w:tcPr>
            <w:tcW w:w="2531" w:type="dxa"/>
            <w:tcBorders>
              <w:top w:val="nil"/>
              <w:left w:val="nil"/>
              <w:bottom w:val="single" w:sz="4" w:space="0" w:color="auto"/>
              <w:right w:val="single" w:sz="4" w:space="0" w:color="auto"/>
            </w:tcBorders>
            <w:shd w:val="clear" w:color="000000" w:fill="FFFFFF"/>
            <w:hideMark/>
          </w:tcPr>
          <w:p w14:paraId="66D898A3" w14:textId="3A4E8718"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Net solvency capital requirement  for health catastrophe risks - Pandemic risk</w:t>
            </w:r>
          </w:p>
        </w:tc>
        <w:tc>
          <w:tcPr>
            <w:tcW w:w="5297" w:type="dxa"/>
            <w:tcBorders>
              <w:top w:val="nil"/>
              <w:left w:val="nil"/>
              <w:bottom w:val="single" w:sz="4" w:space="0" w:color="auto"/>
              <w:right w:val="single" w:sz="4" w:space="0" w:color="auto"/>
            </w:tcBorders>
            <w:shd w:val="clear" w:color="000000" w:fill="FFFFFF"/>
            <w:hideMark/>
          </w:tcPr>
          <w:p w14:paraId="1E648DD1" w14:textId="5791F434"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The net solvency capital requirement for the pandemic risk sub-module, calculated after loss absorbing capacity of technical provisions.</w:t>
            </w:r>
          </w:p>
        </w:tc>
      </w:tr>
      <w:tr w:rsidR="00D27ADE" w:rsidRPr="001454DF" w14:paraId="6373FD8E" w14:textId="77777777" w:rsidTr="001454DF">
        <w:trPr>
          <w:trHeight w:val="994"/>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64C1921" w14:textId="02F27321"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R1</w:t>
            </w:r>
            <w:r w:rsidR="00FB7533" w:rsidRPr="001454DF">
              <w:rPr>
                <w:rFonts w:ascii="Times New Roman" w:eastAsia="Times New Roman" w:hAnsi="Times New Roman" w:cs="Times New Roman"/>
                <w:sz w:val="20"/>
                <w:szCs w:val="20"/>
                <w:lang w:val="en-GB" w:eastAsia="es-ES"/>
              </w:rPr>
              <w:t>5</w:t>
            </w:r>
            <w:r w:rsidRPr="001454DF">
              <w:rPr>
                <w:rFonts w:ascii="Times New Roman" w:eastAsia="Times New Roman" w:hAnsi="Times New Roman" w:cs="Times New Roman"/>
                <w:sz w:val="20"/>
                <w:szCs w:val="20"/>
                <w:lang w:val="en-GB" w:eastAsia="es-ES"/>
              </w:rPr>
              <w:t>20/C02</w:t>
            </w:r>
            <w:r w:rsidR="00D5008F" w:rsidRPr="001454DF">
              <w:rPr>
                <w:rFonts w:ascii="Times New Roman" w:eastAsia="Times New Roman" w:hAnsi="Times New Roman" w:cs="Times New Roman"/>
                <w:sz w:val="20"/>
                <w:szCs w:val="20"/>
                <w:lang w:val="en-GB" w:eastAsia="es-ES"/>
              </w:rPr>
              <w:t>5</w:t>
            </w:r>
            <w:r w:rsidRPr="001454DF">
              <w:rPr>
                <w:rFonts w:ascii="Times New Roman" w:eastAsia="Times New Roman" w:hAnsi="Times New Roman" w:cs="Times New Roman"/>
                <w:sz w:val="20"/>
                <w:szCs w:val="20"/>
                <w:lang w:val="en-GB" w:eastAsia="es-ES"/>
              </w:rPr>
              <w:t>0</w:t>
            </w:r>
          </w:p>
          <w:p w14:paraId="320466D2" w14:textId="3CAF0E8A" w:rsidR="00326251" w:rsidRPr="001454DF" w:rsidRDefault="00326251">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(A23)</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6DE95988" w14:textId="070CB8A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Gross solvency  capital requirement  for health catastrophe risks - Pandemic risk</w:t>
            </w:r>
          </w:p>
        </w:tc>
        <w:tc>
          <w:tcPr>
            <w:tcW w:w="5297" w:type="dxa"/>
            <w:tcBorders>
              <w:top w:val="single" w:sz="4" w:space="0" w:color="auto"/>
              <w:left w:val="single" w:sz="4" w:space="0" w:color="auto"/>
              <w:bottom w:val="single" w:sz="4" w:space="0" w:color="auto"/>
              <w:right w:val="single" w:sz="4" w:space="0" w:color="auto"/>
            </w:tcBorders>
            <w:shd w:val="clear" w:color="000000" w:fill="FFFFFF"/>
            <w:hideMark/>
          </w:tcPr>
          <w:p w14:paraId="0524197A" w14:textId="0E148483" w:rsidR="007972A5"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The gross solvency capital requirement for the pandemic risk sub-module is calculated before loss absorbing capacity of technical provisions. </w:t>
            </w:r>
          </w:p>
          <w:p w14:paraId="2C1CAF0B" w14:textId="432CDC49" w:rsidR="00D27ADE" w:rsidRPr="001454DF" w:rsidRDefault="00D27ADE">
            <w:pPr>
              <w:spacing w:after="0" w:line="240" w:lineRule="auto"/>
              <w:rPr>
                <w:rFonts w:ascii="Times New Roman" w:eastAsia="Times New Roman" w:hAnsi="Times New Roman" w:cs="Times New Roman"/>
                <w:sz w:val="20"/>
                <w:szCs w:val="20"/>
                <w:lang w:val="en-GB" w:eastAsia="es-ES"/>
              </w:rPr>
            </w:pPr>
          </w:p>
        </w:tc>
      </w:tr>
      <w:tr w:rsidR="00D27ADE" w:rsidRPr="001454DF" w14:paraId="7AEBE37B" w14:textId="77777777" w:rsidTr="001454DF">
        <w:trPr>
          <w:trHeight w:val="114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237A541" w14:textId="67034A4A"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R1</w:t>
            </w:r>
            <w:r w:rsidR="00326251" w:rsidRPr="001454DF">
              <w:rPr>
                <w:rFonts w:ascii="Times New Roman" w:eastAsia="Times New Roman" w:hAnsi="Times New Roman" w:cs="Times New Roman"/>
                <w:sz w:val="20"/>
                <w:szCs w:val="20"/>
                <w:lang w:val="en-GB" w:eastAsia="es-ES"/>
              </w:rPr>
              <w:t>5</w:t>
            </w:r>
            <w:r w:rsidRPr="001454DF">
              <w:rPr>
                <w:rFonts w:ascii="Times New Roman" w:eastAsia="Times New Roman" w:hAnsi="Times New Roman" w:cs="Times New Roman"/>
                <w:sz w:val="20"/>
                <w:szCs w:val="20"/>
                <w:lang w:val="en-GB" w:eastAsia="es-ES"/>
              </w:rPr>
              <w:t>30/C02</w:t>
            </w:r>
            <w:r w:rsidR="00D5008F" w:rsidRPr="001454DF">
              <w:rPr>
                <w:rFonts w:ascii="Times New Roman" w:eastAsia="Times New Roman" w:hAnsi="Times New Roman" w:cs="Times New Roman"/>
                <w:sz w:val="20"/>
                <w:szCs w:val="20"/>
                <w:lang w:val="en-GB" w:eastAsia="es-ES"/>
              </w:rPr>
              <w:t>4</w:t>
            </w:r>
            <w:r w:rsidRPr="001454DF">
              <w:rPr>
                <w:rFonts w:ascii="Times New Roman" w:eastAsia="Times New Roman" w:hAnsi="Times New Roman" w:cs="Times New Roman"/>
                <w:sz w:val="20"/>
                <w:szCs w:val="20"/>
                <w:lang w:val="en-GB" w:eastAsia="es-ES"/>
              </w:rPr>
              <w:t>0</w:t>
            </w:r>
          </w:p>
          <w:p w14:paraId="5BE1D045" w14:textId="56B5248D" w:rsidR="00326251" w:rsidRPr="001454DF" w:rsidRDefault="00326251">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(B24)</w:t>
            </w:r>
          </w:p>
        </w:tc>
        <w:tc>
          <w:tcPr>
            <w:tcW w:w="2531" w:type="dxa"/>
            <w:tcBorders>
              <w:top w:val="single" w:sz="4" w:space="0" w:color="auto"/>
              <w:left w:val="nil"/>
              <w:bottom w:val="single" w:sz="4" w:space="0" w:color="auto"/>
              <w:right w:val="single" w:sz="4" w:space="0" w:color="auto"/>
            </w:tcBorders>
            <w:shd w:val="clear" w:color="000000" w:fill="FFFFFF"/>
            <w:hideMark/>
          </w:tcPr>
          <w:p w14:paraId="00FFBC7D"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Diversification within health catastrophe risk - Net</w:t>
            </w:r>
          </w:p>
        </w:tc>
        <w:tc>
          <w:tcPr>
            <w:tcW w:w="5297" w:type="dxa"/>
            <w:tcBorders>
              <w:top w:val="single" w:sz="4" w:space="0" w:color="auto"/>
              <w:left w:val="nil"/>
              <w:bottom w:val="single" w:sz="4" w:space="0" w:color="auto"/>
              <w:right w:val="single" w:sz="4" w:space="0" w:color="auto"/>
            </w:tcBorders>
            <w:shd w:val="clear" w:color="000000" w:fill="FFFFFF"/>
            <w:hideMark/>
          </w:tcPr>
          <w:p w14:paraId="6DEEBD95" w14:textId="0445F3C5"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diversification effect within the health catastrophe risk sub-module as a result of the aggregation of the capital requirements for the risks of a mass accident, accident concentration and pandemic risk, calculated after loss absorbing capacity of technical provisions</w:t>
            </w:r>
          </w:p>
        </w:tc>
      </w:tr>
      <w:tr w:rsidR="00D27ADE" w:rsidRPr="001454DF" w14:paraId="790AF737" w14:textId="77777777" w:rsidTr="001454DF">
        <w:trPr>
          <w:trHeight w:val="1140"/>
        </w:trPr>
        <w:tc>
          <w:tcPr>
            <w:tcW w:w="1630" w:type="dxa"/>
            <w:tcBorders>
              <w:top w:val="nil"/>
              <w:left w:val="single" w:sz="4" w:space="0" w:color="auto"/>
              <w:bottom w:val="single" w:sz="4" w:space="0" w:color="auto"/>
              <w:right w:val="single" w:sz="4" w:space="0" w:color="auto"/>
            </w:tcBorders>
            <w:shd w:val="clear" w:color="000000" w:fill="FFFFFF"/>
          </w:tcPr>
          <w:p w14:paraId="55C0B458" w14:textId="03A72805"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R1</w:t>
            </w:r>
            <w:r w:rsidR="00326251" w:rsidRPr="001454DF">
              <w:rPr>
                <w:rFonts w:ascii="Times New Roman" w:eastAsia="Times New Roman" w:hAnsi="Times New Roman" w:cs="Times New Roman"/>
                <w:sz w:val="20"/>
                <w:szCs w:val="20"/>
                <w:lang w:val="en-GB" w:eastAsia="es-ES"/>
              </w:rPr>
              <w:t>53</w:t>
            </w:r>
            <w:r w:rsidRPr="001454DF">
              <w:rPr>
                <w:rFonts w:ascii="Times New Roman" w:eastAsia="Times New Roman" w:hAnsi="Times New Roman" w:cs="Times New Roman"/>
                <w:sz w:val="20"/>
                <w:szCs w:val="20"/>
                <w:lang w:val="en-GB" w:eastAsia="es-ES"/>
              </w:rPr>
              <w:t>0/C02</w:t>
            </w:r>
            <w:r w:rsidR="00D5008F" w:rsidRPr="001454DF">
              <w:rPr>
                <w:rFonts w:ascii="Times New Roman" w:eastAsia="Times New Roman" w:hAnsi="Times New Roman" w:cs="Times New Roman"/>
                <w:sz w:val="20"/>
                <w:szCs w:val="20"/>
                <w:lang w:val="en-GB" w:eastAsia="es-ES"/>
              </w:rPr>
              <w:t>5</w:t>
            </w:r>
            <w:r w:rsidRPr="001454DF">
              <w:rPr>
                <w:rFonts w:ascii="Times New Roman" w:eastAsia="Times New Roman" w:hAnsi="Times New Roman" w:cs="Times New Roman"/>
                <w:sz w:val="20"/>
                <w:szCs w:val="20"/>
                <w:lang w:val="en-GB" w:eastAsia="es-ES"/>
              </w:rPr>
              <w:t>0</w:t>
            </w:r>
          </w:p>
          <w:p w14:paraId="48491357" w14:textId="3A727E78" w:rsidR="00326251" w:rsidRPr="001454DF" w:rsidRDefault="00326251">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(A24)</w:t>
            </w:r>
          </w:p>
        </w:tc>
        <w:tc>
          <w:tcPr>
            <w:tcW w:w="2531" w:type="dxa"/>
            <w:tcBorders>
              <w:top w:val="nil"/>
              <w:left w:val="nil"/>
              <w:bottom w:val="single" w:sz="4" w:space="0" w:color="auto"/>
              <w:right w:val="single" w:sz="4" w:space="0" w:color="auto"/>
            </w:tcBorders>
            <w:shd w:val="clear" w:color="000000" w:fill="FFFFFF"/>
            <w:hideMark/>
          </w:tcPr>
          <w:p w14:paraId="3677BEE8"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Diversification within health catastrophe risk -  Gross</w:t>
            </w:r>
          </w:p>
        </w:tc>
        <w:tc>
          <w:tcPr>
            <w:tcW w:w="5297" w:type="dxa"/>
            <w:tcBorders>
              <w:top w:val="nil"/>
              <w:left w:val="nil"/>
              <w:bottom w:val="single" w:sz="4" w:space="0" w:color="auto"/>
              <w:right w:val="single" w:sz="4" w:space="0" w:color="auto"/>
            </w:tcBorders>
            <w:shd w:val="clear" w:color="000000" w:fill="FFFFFF"/>
            <w:hideMark/>
          </w:tcPr>
          <w:p w14:paraId="2AE39D01" w14:textId="3EB6FBEE"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This is the diversification effect within the health catastrophe risk sub-module as a result of the aggregation of the capital requirements for the risks of a mass accident, accident concentration and pandemic risk, calculated after loss absorbing capacity of technical provisions. </w:t>
            </w:r>
          </w:p>
        </w:tc>
      </w:tr>
      <w:tr w:rsidR="00D27ADE" w:rsidRPr="001454DF" w14:paraId="5732B7FE" w14:textId="77777777" w:rsidTr="001454DF">
        <w:trPr>
          <w:trHeight w:val="803"/>
        </w:trPr>
        <w:tc>
          <w:tcPr>
            <w:tcW w:w="1630" w:type="dxa"/>
            <w:tcBorders>
              <w:top w:val="nil"/>
              <w:left w:val="single" w:sz="4" w:space="0" w:color="auto"/>
              <w:bottom w:val="single" w:sz="4" w:space="0" w:color="auto"/>
              <w:right w:val="single" w:sz="4" w:space="0" w:color="auto"/>
            </w:tcBorders>
            <w:shd w:val="clear" w:color="000000" w:fill="FFFFFF"/>
          </w:tcPr>
          <w:p w14:paraId="4F8BB295" w14:textId="792CFF82"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R1</w:t>
            </w:r>
            <w:r w:rsidR="00326251" w:rsidRPr="001454DF">
              <w:rPr>
                <w:rFonts w:ascii="Times New Roman" w:eastAsia="Times New Roman" w:hAnsi="Times New Roman" w:cs="Times New Roman"/>
                <w:sz w:val="20"/>
                <w:szCs w:val="20"/>
                <w:lang w:val="en-GB" w:eastAsia="es-ES"/>
              </w:rPr>
              <w:t>5</w:t>
            </w:r>
            <w:r w:rsidRPr="001454DF">
              <w:rPr>
                <w:rFonts w:ascii="Times New Roman" w:eastAsia="Times New Roman" w:hAnsi="Times New Roman" w:cs="Times New Roman"/>
                <w:sz w:val="20"/>
                <w:szCs w:val="20"/>
                <w:lang w:val="en-GB" w:eastAsia="es-ES"/>
              </w:rPr>
              <w:t>40/C02</w:t>
            </w:r>
            <w:r w:rsidR="00D5008F" w:rsidRPr="001454DF">
              <w:rPr>
                <w:rFonts w:ascii="Times New Roman" w:eastAsia="Times New Roman" w:hAnsi="Times New Roman" w:cs="Times New Roman"/>
                <w:sz w:val="20"/>
                <w:szCs w:val="20"/>
                <w:lang w:val="en-GB" w:eastAsia="es-ES"/>
              </w:rPr>
              <w:t>4</w:t>
            </w:r>
            <w:r w:rsidRPr="001454DF">
              <w:rPr>
                <w:rFonts w:ascii="Times New Roman" w:eastAsia="Times New Roman" w:hAnsi="Times New Roman" w:cs="Times New Roman"/>
                <w:sz w:val="20"/>
                <w:szCs w:val="20"/>
                <w:lang w:val="en-GB" w:eastAsia="es-ES"/>
              </w:rPr>
              <w:t>0</w:t>
            </w:r>
          </w:p>
          <w:p w14:paraId="40EB98B2" w14:textId="1383E4FF" w:rsidR="00326251" w:rsidRPr="001454DF" w:rsidRDefault="00326251">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(B25)</w:t>
            </w:r>
          </w:p>
        </w:tc>
        <w:tc>
          <w:tcPr>
            <w:tcW w:w="2531" w:type="dxa"/>
            <w:tcBorders>
              <w:top w:val="nil"/>
              <w:left w:val="nil"/>
              <w:bottom w:val="single" w:sz="4" w:space="0" w:color="auto"/>
              <w:right w:val="single" w:sz="4" w:space="0" w:color="auto"/>
            </w:tcBorders>
            <w:shd w:val="clear" w:color="000000" w:fill="FFFFFF"/>
            <w:hideMark/>
          </w:tcPr>
          <w:p w14:paraId="294DA960" w14:textId="04A9C729"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Total net solvency  capital requirement  for health catastrophe risk </w:t>
            </w:r>
          </w:p>
        </w:tc>
        <w:tc>
          <w:tcPr>
            <w:tcW w:w="5297" w:type="dxa"/>
            <w:tcBorders>
              <w:top w:val="nil"/>
              <w:left w:val="nil"/>
              <w:bottom w:val="single" w:sz="4" w:space="0" w:color="auto"/>
              <w:right w:val="single" w:sz="4" w:space="0" w:color="auto"/>
            </w:tcBorders>
            <w:shd w:val="clear" w:color="000000" w:fill="FFFFFF"/>
            <w:hideMark/>
          </w:tcPr>
          <w:p w14:paraId="23679102" w14:textId="34FCDF0D"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total net capital charge (after loss absorbing capacity of technical provisions) for the health catastrophe risk sub–module</w:t>
            </w:r>
          </w:p>
        </w:tc>
      </w:tr>
      <w:tr w:rsidR="00D27ADE" w:rsidRPr="001454DF" w14:paraId="04304892" w14:textId="77777777" w:rsidTr="001454DF">
        <w:trPr>
          <w:trHeight w:val="873"/>
        </w:trPr>
        <w:tc>
          <w:tcPr>
            <w:tcW w:w="1630" w:type="dxa"/>
            <w:tcBorders>
              <w:top w:val="nil"/>
              <w:left w:val="single" w:sz="4" w:space="0" w:color="auto"/>
              <w:bottom w:val="single" w:sz="4" w:space="0" w:color="auto"/>
              <w:right w:val="single" w:sz="4" w:space="0" w:color="auto"/>
            </w:tcBorders>
            <w:shd w:val="clear" w:color="000000" w:fill="FFFFFF"/>
          </w:tcPr>
          <w:p w14:paraId="487ADD94" w14:textId="62759DAC"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R1</w:t>
            </w:r>
            <w:r w:rsidR="00326251" w:rsidRPr="001454DF">
              <w:rPr>
                <w:rFonts w:ascii="Times New Roman" w:eastAsia="Times New Roman" w:hAnsi="Times New Roman" w:cs="Times New Roman"/>
                <w:sz w:val="20"/>
                <w:szCs w:val="20"/>
                <w:lang w:val="en-GB" w:eastAsia="es-ES"/>
              </w:rPr>
              <w:t>5</w:t>
            </w:r>
            <w:r w:rsidRPr="001454DF">
              <w:rPr>
                <w:rFonts w:ascii="Times New Roman" w:eastAsia="Times New Roman" w:hAnsi="Times New Roman" w:cs="Times New Roman"/>
                <w:sz w:val="20"/>
                <w:szCs w:val="20"/>
                <w:lang w:val="en-GB" w:eastAsia="es-ES"/>
              </w:rPr>
              <w:t>40/C02</w:t>
            </w:r>
            <w:r w:rsidR="00D5008F" w:rsidRPr="001454DF">
              <w:rPr>
                <w:rFonts w:ascii="Times New Roman" w:eastAsia="Times New Roman" w:hAnsi="Times New Roman" w:cs="Times New Roman"/>
                <w:sz w:val="20"/>
                <w:szCs w:val="20"/>
                <w:lang w:val="en-GB" w:eastAsia="es-ES"/>
              </w:rPr>
              <w:t>5</w:t>
            </w:r>
            <w:r w:rsidRPr="001454DF">
              <w:rPr>
                <w:rFonts w:ascii="Times New Roman" w:eastAsia="Times New Roman" w:hAnsi="Times New Roman" w:cs="Times New Roman"/>
                <w:sz w:val="20"/>
                <w:szCs w:val="20"/>
                <w:lang w:val="en-GB" w:eastAsia="es-ES"/>
              </w:rPr>
              <w:t>0</w:t>
            </w:r>
          </w:p>
          <w:p w14:paraId="2E445AD1" w14:textId="042A08E2" w:rsidR="00326251" w:rsidRPr="001454DF" w:rsidRDefault="00326251">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(A25)</w:t>
            </w:r>
          </w:p>
        </w:tc>
        <w:tc>
          <w:tcPr>
            <w:tcW w:w="2531" w:type="dxa"/>
            <w:tcBorders>
              <w:top w:val="nil"/>
              <w:left w:val="nil"/>
              <w:bottom w:val="single" w:sz="4" w:space="0" w:color="auto"/>
              <w:right w:val="single" w:sz="4" w:space="0" w:color="auto"/>
            </w:tcBorders>
            <w:shd w:val="clear" w:color="000000" w:fill="FFFFFF"/>
            <w:hideMark/>
          </w:tcPr>
          <w:p w14:paraId="0F5CC74A" w14:textId="3BA8D1A4"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Total gross solvency capital requirement  for health catastrophe risk</w:t>
            </w:r>
          </w:p>
        </w:tc>
        <w:tc>
          <w:tcPr>
            <w:tcW w:w="5297" w:type="dxa"/>
            <w:tcBorders>
              <w:top w:val="nil"/>
              <w:left w:val="nil"/>
              <w:bottom w:val="single" w:sz="4" w:space="0" w:color="auto"/>
              <w:right w:val="single" w:sz="4" w:space="0" w:color="auto"/>
            </w:tcBorders>
            <w:shd w:val="clear" w:color="000000" w:fill="FFFFFF"/>
            <w:hideMark/>
          </w:tcPr>
          <w:p w14:paraId="755620AB" w14:textId="567F60B6"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total gross capital charge for the health catastrophe risk sub – module (before loss absorbing capacity of technical provisions)</w:t>
            </w:r>
          </w:p>
        </w:tc>
      </w:tr>
      <w:tr w:rsidR="00D27ADE" w:rsidRPr="001454DF" w14:paraId="122C8F76" w14:textId="77777777" w:rsidTr="001454DF">
        <w:trPr>
          <w:trHeight w:val="283"/>
        </w:trPr>
        <w:tc>
          <w:tcPr>
            <w:tcW w:w="9458" w:type="dxa"/>
            <w:gridSpan w:val="3"/>
            <w:tcBorders>
              <w:top w:val="single" w:sz="4" w:space="0" w:color="auto"/>
              <w:bottom w:val="single" w:sz="4" w:space="0" w:color="auto"/>
            </w:tcBorders>
            <w:shd w:val="clear" w:color="000000" w:fill="FFFFFF"/>
          </w:tcPr>
          <w:p w14:paraId="056B4362" w14:textId="77777777" w:rsidR="00D27ADE" w:rsidRPr="001454DF" w:rsidRDefault="00D27ADE" w:rsidP="001454DF">
            <w:pPr>
              <w:spacing w:after="0" w:line="240" w:lineRule="auto"/>
              <w:ind w:left="239"/>
              <w:rPr>
                <w:rFonts w:ascii="Times New Roman" w:eastAsia="Times New Roman" w:hAnsi="Times New Roman" w:cs="Times New Roman"/>
                <w:b/>
                <w:sz w:val="20"/>
                <w:szCs w:val="20"/>
                <w:lang w:val="en-GB" w:eastAsia="es-ES"/>
              </w:rPr>
            </w:pPr>
          </w:p>
          <w:p w14:paraId="1C15FA35" w14:textId="6FAE01AD" w:rsidR="00D27ADE" w:rsidRPr="001454DF" w:rsidRDefault="00D27ADE" w:rsidP="001454DF">
            <w:pPr>
              <w:spacing w:after="0" w:line="240" w:lineRule="auto"/>
              <w:ind w:left="239"/>
              <w:rPr>
                <w:rFonts w:ascii="Times New Roman" w:eastAsia="Times New Roman" w:hAnsi="Times New Roman" w:cs="Times New Roman"/>
                <w:b/>
                <w:sz w:val="20"/>
                <w:szCs w:val="20"/>
                <w:lang w:val="en-GB" w:eastAsia="es-ES"/>
              </w:rPr>
            </w:pPr>
            <w:r w:rsidRPr="001454DF">
              <w:rPr>
                <w:rFonts w:ascii="Times New Roman" w:eastAsia="Times New Roman" w:hAnsi="Times New Roman" w:cs="Times New Roman"/>
                <w:b/>
                <w:sz w:val="20"/>
                <w:szCs w:val="20"/>
                <w:lang w:val="en-GB" w:eastAsia="es-ES"/>
              </w:rPr>
              <w:t>T</w:t>
            </w:r>
            <w:r w:rsidR="00BE7678" w:rsidRPr="001454DF">
              <w:rPr>
                <w:rFonts w:ascii="Times New Roman" w:eastAsia="Times New Roman" w:hAnsi="Times New Roman" w:cs="Times New Roman"/>
                <w:b/>
                <w:sz w:val="20"/>
                <w:szCs w:val="20"/>
                <w:lang w:val="en-GB" w:eastAsia="es-ES"/>
              </w:rPr>
              <w:t>otal health underwriting risk</w:t>
            </w:r>
          </w:p>
        </w:tc>
      </w:tr>
      <w:tr w:rsidR="00D27ADE" w:rsidRPr="001454DF" w14:paraId="5D7EDE4C" w14:textId="77777777" w:rsidTr="001454DF">
        <w:trPr>
          <w:trHeight w:val="1518"/>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7D3CD2F" w14:textId="4737A799"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R1</w:t>
            </w:r>
            <w:r w:rsidR="00F75356" w:rsidRPr="001454DF">
              <w:rPr>
                <w:rFonts w:ascii="Times New Roman" w:eastAsia="Times New Roman" w:hAnsi="Times New Roman" w:cs="Times New Roman"/>
                <w:sz w:val="20"/>
                <w:szCs w:val="20"/>
                <w:lang w:val="en-GB" w:eastAsia="es-ES"/>
              </w:rPr>
              <w:t>6</w:t>
            </w:r>
            <w:r w:rsidRPr="001454DF">
              <w:rPr>
                <w:rFonts w:ascii="Times New Roman" w:eastAsia="Times New Roman" w:hAnsi="Times New Roman" w:cs="Times New Roman"/>
                <w:sz w:val="20"/>
                <w:szCs w:val="20"/>
                <w:lang w:val="en-GB" w:eastAsia="es-ES"/>
              </w:rPr>
              <w:t>00/C02</w:t>
            </w:r>
            <w:r w:rsidR="00D5008F" w:rsidRPr="001454DF">
              <w:rPr>
                <w:rFonts w:ascii="Times New Roman" w:eastAsia="Times New Roman" w:hAnsi="Times New Roman" w:cs="Times New Roman"/>
                <w:sz w:val="20"/>
                <w:szCs w:val="20"/>
                <w:lang w:val="en-GB" w:eastAsia="es-ES"/>
              </w:rPr>
              <w:t>6</w:t>
            </w:r>
            <w:r w:rsidRPr="001454DF">
              <w:rPr>
                <w:rFonts w:ascii="Times New Roman" w:eastAsia="Times New Roman" w:hAnsi="Times New Roman" w:cs="Times New Roman"/>
                <w:sz w:val="20"/>
                <w:szCs w:val="20"/>
                <w:lang w:val="en-GB" w:eastAsia="es-ES"/>
              </w:rPr>
              <w:t>0</w:t>
            </w:r>
          </w:p>
          <w:p w14:paraId="5ED9356A" w14:textId="543E43E1" w:rsidR="00F75356" w:rsidRPr="001454DF" w:rsidRDefault="00F75356">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(B26)</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4DE31240" w14:textId="3D256605"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Diversification within health underwriting risk module – Net </w:t>
            </w:r>
          </w:p>
        </w:tc>
        <w:tc>
          <w:tcPr>
            <w:tcW w:w="5297" w:type="dxa"/>
            <w:tcBorders>
              <w:top w:val="single" w:sz="4" w:space="0" w:color="auto"/>
              <w:left w:val="nil"/>
              <w:bottom w:val="single" w:sz="4" w:space="0" w:color="auto"/>
              <w:right w:val="single" w:sz="4" w:space="0" w:color="auto"/>
            </w:tcBorders>
            <w:shd w:val="clear" w:color="000000" w:fill="FFFFFF"/>
            <w:hideMark/>
          </w:tcPr>
          <w:p w14:paraId="737EAB4F" w14:textId="5ACB2336" w:rsidR="00D27ADE" w:rsidRPr="001454DF" w:rsidRDefault="00D27ADE" w:rsidP="001454DF">
            <w:pPr>
              <w:spacing w:after="0" w:line="240" w:lineRule="auto"/>
              <w:ind w:left="22"/>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diversification effect within the health underwriting risk sub-module as a result of the aggregation of the capital requirements SLT health underwriting risk sub-module, NSLT health underwriting risk sub-module and health catastrophe risk sub-module, calculated after loss absorbing capacity of technical provision.</w:t>
            </w:r>
          </w:p>
        </w:tc>
      </w:tr>
      <w:tr w:rsidR="00D27ADE" w:rsidRPr="001454DF" w14:paraId="04D5F4B8" w14:textId="77777777" w:rsidTr="001454DF">
        <w:trPr>
          <w:trHeight w:val="154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87E7458" w14:textId="78F6753D"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R1</w:t>
            </w:r>
            <w:r w:rsidR="00F75356" w:rsidRPr="001454DF">
              <w:rPr>
                <w:rFonts w:ascii="Times New Roman" w:eastAsia="Times New Roman" w:hAnsi="Times New Roman" w:cs="Times New Roman"/>
                <w:sz w:val="20"/>
                <w:szCs w:val="20"/>
                <w:lang w:val="en-GB" w:eastAsia="es-ES"/>
              </w:rPr>
              <w:t>6</w:t>
            </w:r>
            <w:r w:rsidRPr="001454DF">
              <w:rPr>
                <w:rFonts w:ascii="Times New Roman" w:eastAsia="Times New Roman" w:hAnsi="Times New Roman" w:cs="Times New Roman"/>
                <w:sz w:val="20"/>
                <w:szCs w:val="20"/>
                <w:lang w:val="en-GB" w:eastAsia="es-ES"/>
              </w:rPr>
              <w:t>00/C02</w:t>
            </w:r>
            <w:r w:rsidR="00D5008F" w:rsidRPr="001454DF">
              <w:rPr>
                <w:rFonts w:ascii="Times New Roman" w:eastAsia="Times New Roman" w:hAnsi="Times New Roman" w:cs="Times New Roman"/>
                <w:sz w:val="20"/>
                <w:szCs w:val="20"/>
                <w:lang w:val="en-GB" w:eastAsia="es-ES"/>
              </w:rPr>
              <w:t>7</w:t>
            </w:r>
            <w:r w:rsidRPr="001454DF">
              <w:rPr>
                <w:rFonts w:ascii="Times New Roman" w:eastAsia="Times New Roman" w:hAnsi="Times New Roman" w:cs="Times New Roman"/>
                <w:sz w:val="20"/>
                <w:szCs w:val="20"/>
                <w:lang w:val="en-GB" w:eastAsia="es-ES"/>
              </w:rPr>
              <w:t>0</w:t>
            </w:r>
          </w:p>
          <w:p w14:paraId="4C42D13D" w14:textId="5FA2C0E2" w:rsidR="00F75356" w:rsidRPr="001454DF" w:rsidRDefault="00F75356">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(A26)</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3A62000E"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Diversification within health underwriting risk module – Gross</w:t>
            </w:r>
          </w:p>
        </w:tc>
        <w:tc>
          <w:tcPr>
            <w:tcW w:w="5297" w:type="dxa"/>
            <w:tcBorders>
              <w:top w:val="single" w:sz="4" w:space="0" w:color="auto"/>
              <w:left w:val="single" w:sz="4" w:space="0" w:color="auto"/>
              <w:bottom w:val="single" w:sz="4" w:space="0" w:color="auto"/>
              <w:right w:val="single" w:sz="4" w:space="0" w:color="auto"/>
            </w:tcBorders>
            <w:shd w:val="clear" w:color="000000" w:fill="FFFFFF"/>
            <w:hideMark/>
          </w:tcPr>
          <w:p w14:paraId="565E9062" w14:textId="4FCA34A0"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diversification effect within the health underwriting risk sub-module as a result of the aggregation of the capital requirements SLT health underwriting risk sub-module, NSLT health underwriting risk sub-module and health catastrophe risk sub-module, calculated before loss absorbing capacity of technical provisions</w:t>
            </w:r>
            <w:r w:rsidR="00C16389" w:rsidRPr="001454DF">
              <w:rPr>
                <w:rFonts w:ascii="Times New Roman" w:eastAsia="Times New Roman" w:hAnsi="Times New Roman" w:cs="Times New Roman"/>
                <w:sz w:val="20"/>
                <w:szCs w:val="20"/>
                <w:lang w:val="en-GB" w:eastAsia="es-ES"/>
              </w:rPr>
              <w:t>.</w:t>
            </w:r>
          </w:p>
        </w:tc>
      </w:tr>
      <w:tr w:rsidR="00D27ADE" w:rsidRPr="001454DF" w14:paraId="535F9AE6" w14:textId="77777777" w:rsidTr="001454DF">
        <w:trPr>
          <w:trHeight w:val="84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718D5E0" w14:textId="3EF348F9"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R1</w:t>
            </w:r>
            <w:r w:rsidR="00F75356" w:rsidRPr="001454DF">
              <w:rPr>
                <w:rFonts w:ascii="Times New Roman" w:eastAsia="Times New Roman" w:hAnsi="Times New Roman" w:cs="Times New Roman"/>
                <w:sz w:val="20"/>
                <w:szCs w:val="20"/>
                <w:lang w:val="en-GB" w:eastAsia="es-ES"/>
              </w:rPr>
              <w:t>7</w:t>
            </w:r>
            <w:r w:rsidRPr="001454DF">
              <w:rPr>
                <w:rFonts w:ascii="Times New Roman" w:eastAsia="Times New Roman" w:hAnsi="Times New Roman" w:cs="Times New Roman"/>
                <w:sz w:val="20"/>
                <w:szCs w:val="20"/>
                <w:lang w:val="en-GB" w:eastAsia="es-ES"/>
              </w:rPr>
              <w:t>00/C02</w:t>
            </w:r>
            <w:r w:rsidR="00D5008F" w:rsidRPr="001454DF">
              <w:rPr>
                <w:rFonts w:ascii="Times New Roman" w:eastAsia="Times New Roman" w:hAnsi="Times New Roman" w:cs="Times New Roman"/>
                <w:sz w:val="20"/>
                <w:szCs w:val="20"/>
                <w:lang w:val="en-GB" w:eastAsia="es-ES"/>
              </w:rPr>
              <w:t>6</w:t>
            </w:r>
            <w:r w:rsidRPr="001454DF">
              <w:rPr>
                <w:rFonts w:ascii="Times New Roman" w:eastAsia="Times New Roman" w:hAnsi="Times New Roman" w:cs="Times New Roman"/>
                <w:sz w:val="20"/>
                <w:szCs w:val="20"/>
                <w:lang w:val="en-GB" w:eastAsia="es-ES"/>
              </w:rPr>
              <w:t>0</w:t>
            </w:r>
          </w:p>
          <w:p w14:paraId="34DFCC9D" w14:textId="709FD6A4" w:rsidR="00F75356" w:rsidRPr="001454DF" w:rsidRDefault="00F75356">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(B27)</w:t>
            </w:r>
          </w:p>
        </w:tc>
        <w:tc>
          <w:tcPr>
            <w:tcW w:w="2531" w:type="dxa"/>
            <w:tcBorders>
              <w:top w:val="single" w:sz="4" w:space="0" w:color="auto"/>
              <w:left w:val="single" w:sz="4" w:space="0" w:color="auto"/>
              <w:bottom w:val="single" w:sz="4" w:space="0" w:color="auto"/>
              <w:right w:val="single" w:sz="4" w:space="0" w:color="auto"/>
            </w:tcBorders>
            <w:shd w:val="clear" w:color="000000" w:fill="FFFFFF"/>
            <w:hideMark/>
          </w:tcPr>
          <w:p w14:paraId="08B98545" w14:textId="517FCB33"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Total net solvency capital requirement for health underwriting risk </w:t>
            </w:r>
          </w:p>
        </w:tc>
        <w:tc>
          <w:tcPr>
            <w:tcW w:w="5297" w:type="dxa"/>
            <w:tcBorders>
              <w:top w:val="single" w:sz="4" w:space="0" w:color="auto"/>
              <w:left w:val="nil"/>
              <w:bottom w:val="single" w:sz="4" w:space="0" w:color="auto"/>
              <w:right w:val="single" w:sz="4" w:space="0" w:color="auto"/>
            </w:tcBorders>
            <w:shd w:val="clear" w:color="000000" w:fill="FFFFFF"/>
            <w:hideMark/>
          </w:tcPr>
          <w:p w14:paraId="503A6090"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total net solvency capital requirement for the health underwriting risk module.</w:t>
            </w:r>
          </w:p>
          <w:p w14:paraId="495EC2AF" w14:textId="68B96475" w:rsidR="00D27ADE" w:rsidRPr="001454DF" w:rsidRDefault="00D27ADE" w:rsidP="00C16389">
            <w:pPr>
              <w:spacing w:after="0" w:line="240" w:lineRule="auto"/>
              <w:rPr>
                <w:rFonts w:ascii="Times New Roman" w:eastAsia="Times New Roman" w:hAnsi="Times New Roman" w:cs="Times New Roman"/>
                <w:sz w:val="20"/>
                <w:szCs w:val="20"/>
                <w:lang w:val="en-GB" w:eastAsia="es-ES"/>
              </w:rPr>
            </w:pPr>
          </w:p>
        </w:tc>
      </w:tr>
      <w:tr w:rsidR="00D27ADE" w:rsidRPr="001454DF" w14:paraId="11B67D27" w14:textId="77777777" w:rsidTr="001454DF">
        <w:trPr>
          <w:trHeight w:val="831"/>
        </w:trPr>
        <w:tc>
          <w:tcPr>
            <w:tcW w:w="1630" w:type="dxa"/>
            <w:tcBorders>
              <w:top w:val="nil"/>
              <w:left w:val="single" w:sz="4" w:space="0" w:color="auto"/>
              <w:bottom w:val="single" w:sz="4" w:space="0" w:color="auto"/>
              <w:right w:val="single" w:sz="4" w:space="0" w:color="auto"/>
            </w:tcBorders>
            <w:shd w:val="clear" w:color="000000" w:fill="FFFFFF"/>
          </w:tcPr>
          <w:p w14:paraId="65914E32" w14:textId="1EAC45C1"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R1</w:t>
            </w:r>
            <w:r w:rsidR="00F75356" w:rsidRPr="001454DF">
              <w:rPr>
                <w:rFonts w:ascii="Times New Roman" w:eastAsia="Times New Roman" w:hAnsi="Times New Roman" w:cs="Times New Roman"/>
                <w:sz w:val="20"/>
                <w:szCs w:val="20"/>
                <w:lang w:val="en-GB" w:eastAsia="es-ES"/>
              </w:rPr>
              <w:t>7</w:t>
            </w:r>
            <w:r w:rsidRPr="001454DF">
              <w:rPr>
                <w:rFonts w:ascii="Times New Roman" w:eastAsia="Times New Roman" w:hAnsi="Times New Roman" w:cs="Times New Roman"/>
                <w:sz w:val="20"/>
                <w:szCs w:val="20"/>
                <w:lang w:val="en-GB" w:eastAsia="es-ES"/>
              </w:rPr>
              <w:t>00/C02</w:t>
            </w:r>
            <w:r w:rsidR="00D5008F" w:rsidRPr="001454DF">
              <w:rPr>
                <w:rFonts w:ascii="Times New Roman" w:eastAsia="Times New Roman" w:hAnsi="Times New Roman" w:cs="Times New Roman"/>
                <w:sz w:val="20"/>
                <w:szCs w:val="20"/>
                <w:lang w:val="en-GB" w:eastAsia="es-ES"/>
              </w:rPr>
              <w:t>7</w:t>
            </w:r>
            <w:r w:rsidRPr="001454DF">
              <w:rPr>
                <w:rFonts w:ascii="Times New Roman" w:eastAsia="Times New Roman" w:hAnsi="Times New Roman" w:cs="Times New Roman"/>
                <w:sz w:val="20"/>
                <w:szCs w:val="20"/>
                <w:lang w:val="en-GB" w:eastAsia="es-ES"/>
              </w:rPr>
              <w:t>0</w:t>
            </w:r>
          </w:p>
          <w:p w14:paraId="758C332A" w14:textId="3323B4E0" w:rsidR="00F75356" w:rsidRPr="001454DF" w:rsidRDefault="00F75356">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(A27)</w:t>
            </w:r>
          </w:p>
        </w:tc>
        <w:tc>
          <w:tcPr>
            <w:tcW w:w="2531" w:type="dxa"/>
            <w:tcBorders>
              <w:top w:val="nil"/>
              <w:left w:val="single" w:sz="4" w:space="0" w:color="auto"/>
              <w:bottom w:val="single" w:sz="4" w:space="0" w:color="auto"/>
              <w:right w:val="single" w:sz="4" w:space="0" w:color="auto"/>
            </w:tcBorders>
            <w:shd w:val="clear" w:color="000000" w:fill="FFFFFF"/>
            <w:hideMark/>
          </w:tcPr>
          <w:p w14:paraId="1E93D6A9" w14:textId="74A21BB9"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 xml:space="preserve">Total gross solvency capital requirement for health underwriting risk </w:t>
            </w:r>
          </w:p>
        </w:tc>
        <w:tc>
          <w:tcPr>
            <w:tcW w:w="5297" w:type="dxa"/>
            <w:tcBorders>
              <w:top w:val="single" w:sz="4" w:space="0" w:color="auto"/>
              <w:left w:val="nil"/>
              <w:bottom w:val="single" w:sz="4" w:space="0" w:color="auto"/>
              <w:right w:val="single" w:sz="4" w:space="0" w:color="auto"/>
            </w:tcBorders>
            <w:shd w:val="clear" w:color="000000" w:fill="FFFFFF"/>
            <w:hideMark/>
          </w:tcPr>
          <w:p w14:paraId="289EC360" w14:textId="77777777" w:rsidR="00D27ADE" w:rsidRPr="001454DF" w:rsidRDefault="00D27ADE">
            <w:pPr>
              <w:spacing w:after="0" w:line="240" w:lineRule="auto"/>
              <w:rPr>
                <w:rFonts w:ascii="Times New Roman" w:eastAsia="Times New Roman" w:hAnsi="Times New Roman" w:cs="Times New Roman"/>
                <w:sz w:val="20"/>
                <w:szCs w:val="20"/>
                <w:lang w:val="en-GB" w:eastAsia="es-ES"/>
              </w:rPr>
            </w:pPr>
            <w:r w:rsidRPr="001454DF">
              <w:rPr>
                <w:rFonts w:ascii="Times New Roman" w:eastAsia="Times New Roman" w:hAnsi="Times New Roman" w:cs="Times New Roman"/>
                <w:sz w:val="20"/>
                <w:szCs w:val="20"/>
                <w:lang w:val="en-GB" w:eastAsia="es-ES"/>
              </w:rPr>
              <w:t>This is the total gross solvency capital requirement for the health underwriting risk module.</w:t>
            </w:r>
          </w:p>
          <w:p w14:paraId="6DB9F345" w14:textId="2C731090" w:rsidR="00D27ADE" w:rsidRPr="001454DF" w:rsidRDefault="00D27ADE" w:rsidP="00C16389">
            <w:pPr>
              <w:spacing w:after="0" w:line="240" w:lineRule="auto"/>
              <w:rPr>
                <w:rFonts w:ascii="Times New Roman" w:eastAsia="Times New Roman" w:hAnsi="Times New Roman" w:cs="Times New Roman"/>
                <w:sz w:val="20"/>
                <w:szCs w:val="20"/>
                <w:lang w:val="en-GB" w:eastAsia="es-ES"/>
              </w:rPr>
            </w:pPr>
          </w:p>
        </w:tc>
      </w:tr>
    </w:tbl>
    <w:p w14:paraId="20EC07FA" w14:textId="77777777" w:rsidR="00641969" w:rsidRPr="001454DF" w:rsidRDefault="00641969">
      <w:pPr>
        <w:rPr>
          <w:rFonts w:ascii="Times New Roman" w:hAnsi="Times New Roman" w:cs="Times New Roman"/>
          <w:sz w:val="20"/>
          <w:szCs w:val="20"/>
          <w:lang w:val="en-GB"/>
        </w:rPr>
      </w:pPr>
    </w:p>
    <w:sectPr w:rsidR="00641969" w:rsidRPr="001454DF">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FB811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30047"/>
    <w:multiLevelType w:val="hybridMultilevel"/>
    <w:tmpl w:val="2CC6F44E"/>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nsid w:val="17D91C7B"/>
    <w:multiLevelType w:val="hybridMultilevel"/>
    <w:tmpl w:val="989C346E"/>
    <w:lvl w:ilvl="0" w:tplc="D492839C">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9D33ED2"/>
    <w:multiLevelType w:val="hybridMultilevel"/>
    <w:tmpl w:val="6BCCD2E4"/>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4F7"/>
    <w:rsid w:val="00087E0E"/>
    <w:rsid w:val="000F69DE"/>
    <w:rsid w:val="00135738"/>
    <w:rsid w:val="001454DF"/>
    <w:rsid w:val="00154277"/>
    <w:rsid w:val="0017794A"/>
    <w:rsid w:val="001866A4"/>
    <w:rsid w:val="001961BB"/>
    <w:rsid w:val="001B5D29"/>
    <w:rsid w:val="001D34F7"/>
    <w:rsid w:val="00256758"/>
    <w:rsid w:val="00266F61"/>
    <w:rsid w:val="002A5EEA"/>
    <w:rsid w:val="002D12C7"/>
    <w:rsid w:val="002D1567"/>
    <w:rsid w:val="00326251"/>
    <w:rsid w:val="003272C4"/>
    <w:rsid w:val="003A3EBF"/>
    <w:rsid w:val="003D02D1"/>
    <w:rsid w:val="004405DE"/>
    <w:rsid w:val="004A2CF3"/>
    <w:rsid w:val="004A3171"/>
    <w:rsid w:val="004C49E3"/>
    <w:rsid w:val="00537B80"/>
    <w:rsid w:val="00554347"/>
    <w:rsid w:val="00563E73"/>
    <w:rsid w:val="005B0771"/>
    <w:rsid w:val="005C5780"/>
    <w:rsid w:val="005F7B4E"/>
    <w:rsid w:val="0062732B"/>
    <w:rsid w:val="00641969"/>
    <w:rsid w:val="006608F9"/>
    <w:rsid w:val="006D3C9E"/>
    <w:rsid w:val="0072360A"/>
    <w:rsid w:val="007726E9"/>
    <w:rsid w:val="007967B2"/>
    <w:rsid w:val="007972A5"/>
    <w:rsid w:val="007A6C2F"/>
    <w:rsid w:val="00864C08"/>
    <w:rsid w:val="00907B1F"/>
    <w:rsid w:val="00933052"/>
    <w:rsid w:val="00943246"/>
    <w:rsid w:val="009840C4"/>
    <w:rsid w:val="009A2C6D"/>
    <w:rsid w:val="009A6299"/>
    <w:rsid w:val="009B2FC7"/>
    <w:rsid w:val="009D70C9"/>
    <w:rsid w:val="009E2C99"/>
    <w:rsid w:val="009F4C8D"/>
    <w:rsid w:val="00A16335"/>
    <w:rsid w:val="00A36C99"/>
    <w:rsid w:val="00A80520"/>
    <w:rsid w:val="00A80EA2"/>
    <w:rsid w:val="00AE403B"/>
    <w:rsid w:val="00AF1499"/>
    <w:rsid w:val="00B12DDC"/>
    <w:rsid w:val="00BA4C51"/>
    <w:rsid w:val="00BE2A47"/>
    <w:rsid w:val="00BE7678"/>
    <w:rsid w:val="00C055EA"/>
    <w:rsid w:val="00C16389"/>
    <w:rsid w:val="00C52A9C"/>
    <w:rsid w:val="00C939A6"/>
    <w:rsid w:val="00C94D69"/>
    <w:rsid w:val="00CB7B5F"/>
    <w:rsid w:val="00CE1622"/>
    <w:rsid w:val="00D27ADE"/>
    <w:rsid w:val="00D5008F"/>
    <w:rsid w:val="00D64134"/>
    <w:rsid w:val="00D73F92"/>
    <w:rsid w:val="00DD79C4"/>
    <w:rsid w:val="00E11A54"/>
    <w:rsid w:val="00E77EFE"/>
    <w:rsid w:val="00EE0197"/>
    <w:rsid w:val="00EE3DF4"/>
    <w:rsid w:val="00F155D5"/>
    <w:rsid w:val="00F272D7"/>
    <w:rsid w:val="00F60D3B"/>
    <w:rsid w:val="00F6723A"/>
    <w:rsid w:val="00F75356"/>
    <w:rsid w:val="00F75F86"/>
    <w:rsid w:val="00FA7AD3"/>
    <w:rsid w:val="00FB753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9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66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66A4"/>
    <w:rPr>
      <w:rFonts w:ascii="Segoe UI" w:hAnsi="Segoe UI" w:cs="Segoe UI"/>
      <w:sz w:val="18"/>
      <w:szCs w:val="18"/>
    </w:rPr>
  </w:style>
  <w:style w:type="paragraph" w:styleId="ListParagraph">
    <w:name w:val="List Paragraph"/>
    <w:basedOn w:val="Normal"/>
    <w:uiPriority w:val="34"/>
    <w:qFormat/>
    <w:rsid w:val="002D12C7"/>
    <w:pPr>
      <w:ind w:left="720"/>
      <w:contextualSpacing/>
    </w:pPr>
  </w:style>
  <w:style w:type="character" w:styleId="CommentReference">
    <w:name w:val="annotation reference"/>
    <w:basedOn w:val="DefaultParagraphFont"/>
    <w:uiPriority w:val="99"/>
    <w:semiHidden/>
    <w:unhideWhenUsed/>
    <w:rsid w:val="006D3C9E"/>
    <w:rPr>
      <w:sz w:val="16"/>
      <w:szCs w:val="16"/>
    </w:rPr>
  </w:style>
  <w:style w:type="paragraph" w:styleId="CommentText">
    <w:name w:val="annotation text"/>
    <w:basedOn w:val="Normal"/>
    <w:link w:val="CommentTextChar"/>
    <w:uiPriority w:val="99"/>
    <w:semiHidden/>
    <w:unhideWhenUsed/>
    <w:rsid w:val="006D3C9E"/>
    <w:pPr>
      <w:spacing w:line="240" w:lineRule="auto"/>
    </w:pPr>
    <w:rPr>
      <w:sz w:val="20"/>
      <w:szCs w:val="20"/>
    </w:rPr>
  </w:style>
  <w:style w:type="character" w:customStyle="1" w:styleId="CommentTextChar">
    <w:name w:val="Comment Text Char"/>
    <w:basedOn w:val="DefaultParagraphFont"/>
    <w:link w:val="CommentText"/>
    <w:uiPriority w:val="99"/>
    <w:semiHidden/>
    <w:rsid w:val="006D3C9E"/>
    <w:rPr>
      <w:sz w:val="20"/>
      <w:szCs w:val="20"/>
    </w:rPr>
  </w:style>
  <w:style w:type="paragraph" w:styleId="CommentSubject">
    <w:name w:val="annotation subject"/>
    <w:basedOn w:val="CommentText"/>
    <w:next w:val="CommentText"/>
    <w:link w:val="CommentSubjectChar"/>
    <w:uiPriority w:val="99"/>
    <w:semiHidden/>
    <w:unhideWhenUsed/>
    <w:rsid w:val="006D3C9E"/>
    <w:rPr>
      <w:b/>
      <w:bCs/>
    </w:rPr>
  </w:style>
  <w:style w:type="character" w:customStyle="1" w:styleId="CommentSubjectChar">
    <w:name w:val="Comment Subject Char"/>
    <w:basedOn w:val="CommentTextChar"/>
    <w:link w:val="CommentSubject"/>
    <w:uiPriority w:val="99"/>
    <w:semiHidden/>
    <w:rsid w:val="006D3C9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66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66A4"/>
    <w:rPr>
      <w:rFonts w:ascii="Segoe UI" w:hAnsi="Segoe UI" w:cs="Segoe UI"/>
      <w:sz w:val="18"/>
      <w:szCs w:val="18"/>
    </w:rPr>
  </w:style>
  <w:style w:type="paragraph" w:styleId="ListParagraph">
    <w:name w:val="List Paragraph"/>
    <w:basedOn w:val="Normal"/>
    <w:uiPriority w:val="34"/>
    <w:qFormat/>
    <w:rsid w:val="002D12C7"/>
    <w:pPr>
      <w:ind w:left="720"/>
      <w:contextualSpacing/>
    </w:pPr>
  </w:style>
  <w:style w:type="character" w:styleId="CommentReference">
    <w:name w:val="annotation reference"/>
    <w:basedOn w:val="DefaultParagraphFont"/>
    <w:uiPriority w:val="99"/>
    <w:semiHidden/>
    <w:unhideWhenUsed/>
    <w:rsid w:val="006D3C9E"/>
    <w:rPr>
      <w:sz w:val="16"/>
      <w:szCs w:val="16"/>
    </w:rPr>
  </w:style>
  <w:style w:type="paragraph" w:styleId="CommentText">
    <w:name w:val="annotation text"/>
    <w:basedOn w:val="Normal"/>
    <w:link w:val="CommentTextChar"/>
    <w:uiPriority w:val="99"/>
    <w:semiHidden/>
    <w:unhideWhenUsed/>
    <w:rsid w:val="006D3C9E"/>
    <w:pPr>
      <w:spacing w:line="240" w:lineRule="auto"/>
    </w:pPr>
    <w:rPr>
      <w:sz w:val="20"/>
      <w:szCs w:val="20"/>
    </w:rPr>
  </w:style>
  <w:style w:type="character" w:customStyle="1" w:styleId="CommentTextChar">
    <w:name w:val="Comment Text Char"/>
    <w:basedOn w:val="DefaultParagraphFont"/>
    <w:link w:val="CommentText"/>
    <w:uiPriority w:val="99"/>
    <w:semiHidden/>
    <w:rsid w:val="006D3C9E"/>
    <w:rPr>
      <w:sz w:val="20"/>
      <w:szCs w:val="20"/>
    </w:rPr>
  </w:style>
  <w:style w:type="paragraph" w:styleId="CommentSubject">
    <w:name w:val="annotation subject"/>
    <w:basedOn w:val="CommentText"/>
    <w:next w:val="CommentText"/>
    <w:link w:val="CommentSubjectChar"/>
    <w:uiPriority w:val="99"/>
    <w:semiHidden/>
    <w:unhideWhenUsed/>
    <w:rsid w:val="006D3C9E"/>
    <w:rPr>
      <w:b/>
      <w:bCs/>
    </w:rPr>
  </w:style>
  <w:style w:type="character" w:customStyle="1" w:styleId="CommentSubjectChar">
    <w:name w:val="Comment Subject Char"/>
    <w:basedOn w:val="CommentTextChar"/>
    <w:link w:val="CommentSubject"/>
    <w:uiPriority w:val="99"/>
    <w:semiHidden/>
    <w:rsid w:val="006D3C9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068808">
      <w:bodyDiv w:val="1"/>
      <w:marLeft w:val="0"/>
      <w:marRight w:val="0"/>
      <w:marTop w:val="0"/>
      <w:marBottom w:val="0"/>
      <w:divBdr>
        <w:top w:val="none" w:sz="0" w:space="0" w:color="auto"/>
        <w:left w:val="none" w:sz="0" w:space="0" w:color="auto"/>
        <w:bottom w:val="none" w:sz="0" w:space="0" w:color="auto"/>
        <w:right w:val="none" w:sz="0" w:space="0" w:color="auto"/>
      </w:divBdr>
    </w:div>
    <w:div w:id="2056731130">
      <w:bodyDiv w:val="1"/>
      <w:marLeft w:val="0"/>
      <w:marRight w:val="0"/>
      <w:marTop w:val="0"/>
      <w:marBottom w:val="0"/>
      <w:divBdr>
        <w:top w:val="none" w:sz="0" w:space="0" w:color="auto"/>
        <w:left w:val="none" w:sz="0" w:space="0" w:color="auto"/>
        <w:bottom w:val="none" w:sz="0" w:space="0" w:color="auto"/>
        <w:right w:val="none" w:sz="0" w:space="0" w:color="auto"/>
      </w:divBdr>
    </w:div>
    <w:div w:id="2137288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13</Pages>
  <Words>5702</Words>
  <Characters>32506</Characters>
  <Application>Microsoft Office Word</Application>
  <DocSecurity>0</DocSecurity>
  <Lines>270</Lines>
  <Paragraphs>76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38132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ATM</cp:lastModifiedBy>
  <cp:revision>7</cp:revision>
  <dcterms:created xsi:type="dcterms:W3CDTF">2014-11-10T14:08:00Z</dcterms:created>
  <dcterms:modified xsi:type="dcterms:W3CDTF">2014-12-01T14:21:00Z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-1479314215</vt:i4>
  </property>
  <property fmtid="{D5CDD505-2E9C-101B-9397-08002B2CF9AE}" pid="4" name="_EmailSubject">
    <vt:lpwstr>S.26 review </vt:lpwstr>
  </property>
  <property fmtid="{D5CDD505-2E9C-101B-9397-08002B2CF9AE}" pid="5" name="_AuthorEmail">
    <vt:lpwstr>Elzbieta.Woynowska@bankofengland.gsi.gov.uk</vt:lpwstr>
  </property>
  <property fmtid="{D5CDD505-2E9C-101B-9397-08002B2CF9AE}" pid="6" name="_AuthorEmailDisplayName">
    <vt:lpwstr>Woynowska, Elzbieta</vt:lpwstr>
  </property>
  <property fmtid="{D5CDD505-2E9C-101B-9397-08002B2CF9AE}" pid="7" name="_ReviewingToolsShownOnce">
    <vt:lpwstr/>
  </property>
</Properties>
</file>